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8" w:afterLines="25" w:line="480" w:lineRule="auto"/>
        <w:jc w:val="center"/>
      </w:pPr>
      <w:r>
        <w:fldChar w:fldCharType="begin"/>
      </w:r>
      <w:r>
        <w:instrText xml:space="preserve"> INCLUDEPICTURE "https://gss2.bdstatic.com/9fo3dSag_xI4khGkpoWK1HF6hhy/baike/s%3D220/sign=9de876ecaeec08fa220014a569ef3d4d/3bf33a87e950352aacb7f75b5d43fbf2b3118b8b.jpg" \* MERGEFORMATINET </w:instrText>
      </w:r>
      <w:r>
        <w:fldChar w:fldCharType="separate"/>
      </w:r>
      <w:r>
        <w:drawing>
          <wp:inline distT="0" distB="0" distL="114300" distR="114300">
            <wp:extent cx="1224280" cy="1174750"/>
            <wp:effectExtent l="0" t="0" r="7620" b="6350"/>
            <wp:docPr id="1" name="图片 1" descr="3bf33a87e950352aacb7f75b5d43fbf2b3118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f33a87e950352aacb7f75b5d43fbf2b3118b8b"/>
                    <pic:cNvPicPr>
                      <a:picLocks noChangeAspect="1"/>
                    </pic:cNvPicPr>
                  </pic:nvPicPr>
                  <pic:blipFill>
                    <a:blip r:embed="rId7"/>
                    <a:stretch>
                      <a:fillRect/>
                    </a:stretch>
                  </pic:blipFill>
                  <pic:spPr>
                    <a:xfrm>
                      <a:off x="0" y="0"/>
                      <a:ext cx="1224280" cy="1174750"/>
                    </a:xfrm>
                    <a:prstGeom prst="rect">
                      <a:avLst/>
                    </a:prstGeom>
                    <a:noFill/>
                    <a:ln>
                      <a:noFill/>
                    </a:ln>
                  </pic:spPr>
                </pic:pic>
              </a:graphicData>
            </a:graphic>
          </wp:inline>
        </w:drawing>
      </w:r>
      <w:r>
        <w:fldChar w:fldCharType="end"/>
      </w:r>
    </w:p>
    <w:p>
      <w:pPr>
        <w:widowControl/>
        <w:spacing w:after="78" w:afterLines="25" w:line="48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广东茂名农林科技职业学院</w:t>
      </w:r>
    </w:p>
    <w:p>
      <w:pPr>
        <w:widowControl/>
        <w:spacing w:after="78" w:afterLines="25" w:line="480" w:lineRule="auto"/>
        <w:jc w:val="center"/>
        <w:rPr>
          <w:rFonts w:ascii="宋体" w:hAnsi="宋体" w:cs="宋体"/>
          <w:b/>
          <w:bCs/>
          <w:kern w:val="0"/>
          <w:sz w:val="48"/>
          <w:szCs w:val="48"/>
        </w:rPr>
      </w:pPr>
      <w:r>
        <w:rPr>
          <w:rFonts w:hint="eastAsia" w:ascii="黑体" w:hAnsi="黑体" w:eastAsia="黑体" w:cs="黑体"/>
          <w:b/>
          <w:bCs/>
          <w:kern w:val="0"/>
          <w:sz w:val="52"/>
          <w:szCs w:val="52"/>
        </w:rPr>
        <w:t>专业人才培养方案（修订版）</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级)</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ind w:firstLine="1446" w:firstLineChars="400"/>
        <w:jc w:val="left"/>
        <w:rPr>
          <w:rFonts w:ascii="仿宋" w:hAnsi="仿宋" w:eastAsia="仿宋" w:cs="仿宋"/>
          <w:b/>
          <w:bCs/>
        </w:rPr>
      </w:pPr>
      <w:r>
        <w:rPr>
          <w:rFonts w:hint="eastAsia" w:ascii="仿宋" w:hAnsi="仿宋" w:eastAsia="仿宋" w:cs="仿宋"/>
          <w:b/>
          <w:bCs/>
          <w:kern w:val="0"/>
          <w:sz w:val="36"/>
          <w:szCs w:val="36"/>
          <w:lang w:bidi="ar"/>
        </w:rPr>
        <w:t xml:space="preserve">专 业 名 称 </w:t>
      </w:r>
      <w:r>
        <w:rPr>
          <w:rFonts w:hint="eastAsia" w:ascii="仿宋" w:hAnsi="仿宋" w:eastAsia="仿宋" w:cs="仿宋"/>
          <w:b/>
          <w:bCs/>
          <w:kern w:val="0"/>
          <w:sz w:val="36"/>
          <w:szCs w:val="36"/>
          <w:u w:val="single"/>
          <w:lang w:bidi="ar"/>
        </w:rPr>
        <w:t xml:space="preserve"> 烹饪工艺与营养  </w:t>
      </w:r>
    </w:p>
    <w:p>
      <w:pPr>
        <w:widowControl/>
        <w:ind w:firstLine="1446" w:firstLineChars="400"/>
        <w:jc w:val="left"/>
        <w:rPr>
          <w:rFonts w:ascii="仿宋" w:hAnsi="仿宋" w:eastAsia="仿宋" w:cs="仿宋"/>
          <w:b/>
          <w:bCs/>
          <w:u w:val="single"/>
        </w:rPr>
      </w:pPr>
      <w:r>
        <w:rPr>
          <w:rFonts w:hint="eastAsia" w:ascii="仿宋" w:hAnsi="仿宋" w:eastAsia="仿宋" w:cs="仿宋"/>
          <w:b/>
          <w:bCs/>
          <w:kern w:val="0"/>
          <w:sz w:val="36"/>
          <w:szCs w:val="36"/>
          <w:lang w:bidi="ar"/>
        </w:rPr>
        <w:t xml:space="preserve">专 业 代 码 </w:t>
      </w:r>
      <w:r>
        <w:rPr>
          <w:rFonts w:hint="eastAsia" w:ascii="仿宋" w:hAnsi="仿宋" w:eastAsia="仿宋" w:cs="仿宋"/>
          <w:b/>
          <w:bCs/>
          <w:kern w:val="0"/>
          <w:sz w:val="36"/>
          <w:szCs w:val="36"/>
          <w:u w:val="single"/>
          <w:lang w:bidi="ar"/>
        </w:rPr>
        <w:t xml:space="preserve">    540202       </w:t>
      </w:r>
    </w:p>
    <w:p>
      <w:pPr>
        <w:widowControl/>
        <w:ind w:firstLine="1446" w:firstLineChars="400"/>
        <w:rPr>
          <w:rFonts w:ascii="仿宋" w:hAnsi="仿宋" w:eastAsia="仿宋" w:cs="仿宋"/>
          <w:b/>
          <w:bCs/>
        </w:rPr>
      </w:pPr>
      <w:r>
        <w:rPr>
          <w:rFonts w:hint="eastAsia" w:ascii="仿宋" w:hAnsi="仿宋" w:eastAsia="仿宋" w:cs="仿宋"/>
          <w:b/>
          <w:bCs/>
          <w:kern w:val="0"/>
          <w:sz w:val="36"/>
          <w:szCs w:val="36"/>
          <w:lang w:val="en-US" w:eastAsia="zh-CN" w:bidi="ar"/>
        </w:rPr>
        <w:t>修</w:t>
      </w:r>
      <w:r>
        <w:rPr>
          <w:rFonts w:hint="eastAsia" w:ascii="仿宋" w:hAnsi="仿宋" w:eastAsia="仿宋" w:cs="仿宋"/>
          <w:b/>
          <w:bCs/>
          <w:kern w:val="0"/>
          <w:sz w:val="36"/>
          <w:szCs w:val="36"/>
          <w:lang w:bidi="ar"/>
        </w:rPr>
        <w:t xml:space="preserve"> 订 部 门 </w:t>
      </w:r>
      <w:r>
        <w:rPr>
          <w:rFonts w:hint="eastAsia" w:ascii="仿宋" w:hAnsi="仿宋" w:eastAsia="仿宋" w:cs="仿宋"/>
          <w:b/>
          <w:bCs/>
          <w:kern w:val="0"/>
          <w:sz w:val="36"/>
          <w:szCs w:val="36"/>
          <w:u w:val="single"/>
          <w:lang w:bidi="ar"/>
        </w:rPr>
        <w:t xml:space="preserve">    食品工程系 </w:t>
      </w:r>
      <w:r>
        <w:rPr>
          <w:rFonts w:ascii="仿宋" w:hAnsi="仿宋" w:eastAsia="仿宋" w:cs="仿宋"/>
          <w:b/>
          <w:bCs/>
          <w:kern w:val="0"/>
          <w:sz w:val="36"/>
          <w:szCs w:val="36"/>
          <w:u w:val="single"/>
          <w:lang w:bidi="ar"/>
        </w:rPr>
        <w:t xml:space="preserve">  </w:t>
      </w:r>
    </w:p>
    <w:p>
      <w:pPr>
        <w:widowControl/>
        <w:ind w:firstLine="1446" w:firstLineChars="400"/>
        <w:jc w:val="left"/>
      </w:pPr>
      <w:r>
        <w:rPr>
          <w:rFonts w:hint="eastAsia" w:ascii="仿宋" w:hAnsi="仿宋" w:eastAsia="仿宋" w:cs="仿宋"/>
          <w:b/>
          <w:bCs/>
          <w:kern w:val="0"/>
          <w:sz w:val="36"/>
          <w:szCs w:val="36"/>
          <w:lang w:val="en-US" w:eastAsia="zh-CN" w:bidi="ar"/>
        </w:rPr>
        <w:t>修</w:t>
      </w:r>
      <w:bookmarkStart w:id="0" w:name="_GoBack"/>
      <w:bookmarkEnd w:id="0"/>
      <w:r>
        <w:rPr>
          <w:rFonts w:hint="eastAsia" w:ascii="仿宋" w:hAnsi="仿宋" w:eastAsia="仿宋" w:cs="仿宋"/>
          <w:b/>
          <w:bCs/>
          <w:kern w:val="0"/>
          <w:sz w:val="36"/>
          <w:szCs w:val="36"/>
          <w:lang w:bidi="ar"/>
        </w:rPr>
        <w:t xml:space="preserve"> 订 时 间 </w:t>
      </w:r>
      <w:r>
        <w:rPr>
          <w:rFonts w:hint="eastAsia" w:ascii="仿宋" w:hAnsi="仿宋" w:eastAsia="仿宋" w:cs="仿宋"/>
          <w:b/>
          <w:bCs/>
          <w:kern w:val="0"/>
          <w:sz w:val="36"/>
          <w:szCs w:val="36"/>
          <w:u w:val="single"/>
          <w:lang w:bidi="ar"/>
        </w:rPr>
        <w:t xml:space="preserve">    </w:t>
      </w:r>
      <w:r>
        <w:rPr>
          <w:rFonts w:hint="eastAsia" w:ascii="仿宋" w:hAnsi="仿宋" w:eastAsia="仿宋" w:cs="仿宋"/>
          <w:b/>
          <w:bCs/>
          <w:kern w:val="0"/>
          <w:sz w:val="36"/>
          <w:szCs w:val="36"/>
          <w:u w:val="single"/>
          <w:lang w:val="en-US" w:eastAsia="zh-CN" w:bidi="ar"/>
        </w:rPr>
        <w:t>2022年6月</w:t>
      </w:r>
      <w:r>
        <w:rPr>
          <w:rFonts w:hint="eastAsia" w:ascii="仿宋" w:hAnsi="仿宋" w:eastAsia="仿宋" w:cs="仿宋"/>
          <w:b/>
          <w:bCs/>
          <w:kern w:val="0"/>
          <w:sz w:val="36"/>
          <w:szCs w:val="36"/>
          <w:u w:val="single"/>
          <w:lang w:bidi="ar"/>
        </w:rPr>
        <w:t xml:space="preserve">  </w:t>
      </w:r>
    </w:p>
    <w:p>
      <w:pPr>
        <w:rPr>
          <w:rFonts w:eastAsia="黑体"/>
          <w:kern w:val="0"/>
          <w:sz w:val="44"/>
          <w:szCs w:val="44"/>
        </w:rPr>
      </w:pPr>
    </w:p>
    <w:p>
      <w:pPr>
        <w:widowControl/>
        <w:spacing w:after="78" w:afterLines="25"/>
        <w:jc w:val="center"/>
        <w:rPr>
          <w:rFonts w:ascii="黑体" w:hAnsi="黑体" w:eastAsia="黑体" w:cs="宋体"/>
          <w:b/>
          <w:bCs/>
          <w:kern w:val="0"/>
          <w:sz w:val="36"/>
          <w:szCs w:val="36"/>
        </w:rPr>
      </w:pPr>
      <w:r>
        <w:rPr>
          <w:rFonts w:hint="eastAsia" w:eastAsia="黑体"/>
          <w:kern w:val="0"/>
          <w:sz w:val="28"/>
          <w:szCs w:val="28"/>
        </w:rPr>
        <w:t>广东茂名农林科技职业学院制</w:t>
      </w:r>
    </w:p>
    <w:p>
      <w:pPr>
        <w:widowControl/>
        <w:spacing w:after="78" w:afterLines="25"/>
        <w:jc w:val="center"/>
        <w:rPr>
          <w:rFonts w:ascii="黑体" w:hAnsi="黑体" w:eastAsia="黑体" w:cs="宋体"/>
          <w:b/>
          <w:bCs/>
          <w:kern w:val="0"/>
          <w:sz w:val="44"/>
          <w:szCs w:val="44"/>
        </w:rPr>
        <w:sectPr>
          <w:headerReference r:id="rId3" w:type="default"/>
          <w:footerReference r:id="rId4" w:type="default"/>
          <w:pgSz w:w="11906" w:h="16838"/>
          <w:pgMar w:top="1417" w:right="1417" w:bottom="1417" w:left="1417" w:header="851" w:footer="992" w:gutter="0"/>
          <w:cols w:space="425" w:num="1"/>
          <w:docGrid w:type="lines" w:linePitch="312" w:charSpace="0"/>
        </w:sectPr>
      </w:pPr>
    </w:p>
    <w:p>
      <w:pPr>
        <w:widowControl/>
        <w:spacing w:after="78" w:afterLines="25"/>
        <w:jc w:val="center"/>
        <w:rPr>
          <w:rFonts w:ascii="黑体" w:hAnsi="黑体" w:eastAsia="黑体" w:cs="宋体"/>
          <w:b/>
          <w:bCs/>
          <w:kern w:val="0"/>
          <w:sz w:val="44"/>
          <w:szCs w:val="44"/>
          <w:lang w:val="en-GB"/>
        </w:rPr>
      </w:pPr>
      <w:r>
        <w:rPr>
          <w:rFonts w:hint="eastAsia" w:ascii="黑体" w:hAnsi="黑体" w:eastAsia="黑体" w:cs="宋体"/>
          <w:b/>
          <w:bCs/>
          <w:kern w:val="0"/>
          <w:sz w:val="44"/>
          <w:szCs w:val="44"/>
        </w:rPr>
        <w:t>烹饪工艺与营养专业人才培养方案</w:t>
      </w:r>
    </w:p>
    <w:p>
      <w:pPr>
        <w:spacing w:line="360" w:lineRule="auto"/>
        <w:rPr>
          <w:rFonts w:ascii="黑体" w:hAnsi="黑体" w:eastAsia="黑体" w:cs="宋体"/>
          <w:b/>
          <w:sz w:val="28"/>
          <w:szCs w:val="28"/>
        </w:rPr>
      </w:pPr>
    </w:p>
    <w:p>
      <w:pPr>
        <w:spacing w:line="360" w:lineRule="auto"/>
        <w:ind w:firstLine="560" w:firstLineChars="200"/>
        <w:rPr>
          <w:rFonts w:ascii="黑体" w:eastAsia="黑体"/>
          <w:b/>
          <w:bCs/>
          <w:sz w:val="30"/>
          <w:szCs w:val="30"/>
        </w:rPr>
      </w:pPr>
      <w:r>
        <w:rPr>
          <w:rFonts w:eastAsia="黑体"/>
          <w:sz w:val="28"/>
          <w:szCs w:val="28"/>
        </w:rPr>
        <w:t>一、专业名称及代码</w:t>
      </w:r>
    </w:p>
    <w:p>
      <w:pPr>
        <w:spacing w:line="360" w:lineRule="auto"/>
        <w:ind w:firstLine="422" w:firstLineChars="200"/>
        <w:rPr>
          <w:rFonts w:ascii="宋体" w:hAnsi="宋体" w:cs="宋体"/>
          <w:szCs w:val="21"/>
        </w:rPr>
      </w:pPr>
      <w:r>
        <w:rPr>
          <w:rFonts w:hint="eastAsia" w:ascii="宋体" w:hAnsi="宋体" w:cs="宋体"/>
          <w:b/>
          <w:szCs w:val="21"/>
        </w:rPr>
        <w:t>专业名称：</w:t>
      </w:r>
      <w:r>
        <w:rPr>
          <w:rFonts w:hint="eastAsia"/>
          <w:szCs w:val="21"/>
        </w:rPr>
        <w:t>烹饪工艺与营养</w:t>
      </w:r>
    </w:p>
    <w:p>
      <w:pPr>
        <w:spacing w:line="360" w:lineRule="auto"/>
        <w:ind w:firstLine="422" w:firstLineChars="200"/>
        <w:rPr>
          <w:rFonts w:ascii="宋体" w:hAnsi="宋体"/>
          <w:szCs w:val="21"/>
        </w:rPr>
      </w:pPr>
      <w:r>
        <w:rPr>
          <w:rFonts w:hint="eastAsia" w:ascii="宋体" w:hAnsi="宋体" w:cs="宋体"/>
          <w:b/>
          <w:szCs w:val="21"/>
        </w:rPr>
        <w:t>专业代码：</w:t>
      </w:r>
      <w:r>
        <w:rPr>
          <w:rFonts w:hint="eastAsia" w:ascii="宋体" w:hAnsi="宋体" w:cs="宋体"/>
          <w:bCs/>
          <w:szCs w:val="21"/>
        </w:rPr>
        <w:t>5</w:t>
      </w:r>
      <w:r>
        <w:rPr>
          <w:rFonts w:hint="eastAsia" w:ascii="宋体" w:hAnsi="宋体" w:cs="宋体"/>
          <w:szCs w:val="21"/>
        </w:rPr>
        <w:t>40202</w:t>
      </w:r>
    </w:p>
    <w:p>
      <w:pPr>
        <w:spacing w:line="360" w:lineRule="auto"/>
        <w:ind w:firstLine="560" w:firstLineChars="200"/>
        <w:rPr>
          <w:rFonts w:ascii="黑体" w:eastAsia="黑体"/>
          <w:b/>
          <w:bCs/>
          <w:sz w:val="30"/>
          <w:szCs w:val="30"/>
        </w:rPr>
      </w:pPr>
      <w:r>
        <w:rPr>
          <w:rFonts w:hint="eastAsia" w:eastAsia="黑体"/>
          <w:sz w:val="28"/>
          <w:szCs w:val="28"/>
        </w:rPr>
        <w:t>二</w:t>
      </w:r>
      <w:r>
        <w:rPr>
          <w:rFonts w:eastAsia="黑体"/>
          <w:sz w:val="28"/>
          <w:szCs w:val="28"/>
        </w:rPr>
        <w:t>、</w:t>
      </w:r>
      <w:r>
        <w:rPr>
          <w:rFonts w:hint="eastAsia" w:eastAsia="黑体"/>
          <w:sz w:val="28"/>
          <w:szCs w:val="28"/>
        </w:rPr>
        <w:t>入学要求</w:t>
      </w:r>
    </w:p>
    <w:p>
      <w:pPr>
        <w:spacing w:line="360" w:lineRule="auto"/>
        <w:ind w:firstLine="420" w:firstLineChars="200"/>
        <w:rPr>
          <w:rFonts w:ascii="黑体" w:eastAsia="黑体"/>
          <w:b/>
          <w:bCs/>
          <w:sz w:val="30"/>
          <w:szCs w:val="30"/>
        </w:rPr>
      </w:pPr>
      <w:r>
        <w:rPr>
          <w:rFonts w:hint="eastAsia" w:ascii="宋体" w:hAnsi="宋体" w:cs="宋体"/>
          <w:szCs w:val="21"/>
        </w:rPr>
        <w:t>高中阶段教育毕业生或具有同等学力者</w:t>
      </w:r>
    </w:p>
    <w:p>
      <w:pPr>
        <w:spacing w:line="360" w:lineRule="auto"/>
        <w:ind w:firstLine="560" w:firstLineChars="200"/>
        <w:rPr>
          <w:rFonts w:eastAsia="黑体"/>
          <w:sz w:val="28"/>
          <w:szCs w:val="28"/>
        </w:rPr>
      </w:pPr>
      <w:r>
        <w:rPr>
          <w:rFonts w:hint="eastAsia" w:eastAsia="黑体"/>
          <w:sz w:val="28"/>
          <w:szCs w:val="28"/>
        </w:rPr>
        <w:t>三、修业年限</w:t>
      </w:r>
    </w:p>
    <w:p>
      <w:pPr>
        <w:spacing w:line="360" w:lineRule="auto"/>
        <w:rPr>
          <w:rFonts w:ascii="宋体" w:hAnsi="宋体" w:cs="宋体"/>
          <w:szCs w:val="21"/>
        </w:rPr>
      </w:pPr>
      <w:r>
        <w:rPr>
          <w:rFonts w:hint="eastAsia" w:ascii="宋体" w:hAnsi="宋体"/>
          <w:b/>
          <w:bCs/>
          <w:sz w:val="28"/>
          <w:szCs w:val="28"/>
        </w:rPr>
        <w:t xml:space="preserve">   </w:t>
      </w:r>
      <w:r>
        <w:rPr>
          <w:rFonts w:hint="eastAsia" w:ascii="宋体" w:hAnsi="宋体" w:cs="宋体"/>
          <w:szCs w:val="21"/>
        </w:rPr>
        <w:t>全日制三年</w:t>
      </w:r>
    </w:p>
    <w:p>
      <w:pPr>
        <w:spacing w:line="360" w:lineRule="auto"/>
        <w:ind w:firstLine="560" w:firstLineChars="200"/>
        <w:rPr>
          <w:rFonts w:eastAsia="黑体"/>
          <w:sz w:val="28"/>
          <w:szCs w:val="28"/>
        </w:rPr>
      </w:pPr>
      <w:r>
        <w:rPr>
          <w:rFonts w:hint="eastAsia" w:eastAsia="黑体"/>
          <w:sz w:val="28"/>
          <w:szCs w:val="28"/>
        </w:rPr>
        <w:t>四、</w:t>
      </w:r>
      <w:r>
        <w:rPr>
          <w:rFonts w:eastAsia="黑体"/>
          <w:sz w:val="28"/>
          <w:szCs w:val="28"/>
        </w:rPr>
        <w:t>职业面向</w:t>
      </w:r>
    </w:p>
    <w:p>
      <w:pPr>
        <w:spacing w:line="360" w:lineRule="auto"/>
        <w:ind w:firstLine="420" w:firstLineChars="200"/>
        <w:rPr>
          <w:rFonts w:ascii="宋体" w:hAnsi="宋体" w:cs="微软雅黑"/>
          <w:szCs w:val="21"/>
        </w:rPr>
      </w:pPr>
      <w:r>
        <w:rPr>
          <w:rFonts w:hint="eastAsia" w:ascii="宋体" w:hAnsi="宋体" w:cs="微软雅黑"/>
          <w:szCs w:val="21"/>
        </w:rPr>
        <w:t>烹饪工艺与营养专业职业面向一览表如表一所示。</w:t>
      </w:r>
    </w:p>
    <w:p>
      <w:pPr>
        <w:spacing w:line="360" w:lineRule="auto"/>
        <w:jc w:val="center"/>
        <w:rPr>
          <w:rFonts w:ascii="黑体" w:eastAsia="黑体"/>
          <w:b/>
          <w:bCs/>
          <w:sz w:val="30"/>
          <w:szCs w:val="30"/>
        </w:rPr>
      </w:pPr>
      <w:r>
        <w:rPr>
          <w:rFonts w:hint="eastAsia" w:ascii="宋体" w:hAnsi="宋体" w:cs="微软雅黑"/>
          <w:szCs w:val="21"/>
        </w:rPr>
        <w:t>表一</w:t>
      </w:r>
      <w:r>
        <w:rPr>
          <w:rFonts w:ascii="宋体" w:hAnsi="宋体" w:cs="微软雅黑"/>
          <w:szCs w:val="21"/>
        </w:rPr>
        <w:t xml:space="preserve">  </w:t>
      </w:r>
      <w:r>
        <w:rPr>
          <w:rFonts w:hint="eastAsia" w:ascii="宋体" w:hAnsi="宋体" w:cs="微软雅黑"/>
          <w:szCs w:val="21"/>
        </w:rPr>
        <w:t>烹饪工艺与营养专业职业面向一览表</w:t>
      </w:r>
    </w:p>
    <w:tbl>
      <w:tblPr>
        <w:tblStyle w:val="15"/>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276"/>
        <w:gridCol w:w="1418"/>
        <w:gridCol w:w="1544"/>
        <w:gridCol w:w="1751"/>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所属专业大类(代码)</w:t>
            </w:r>
          </w:p>
        </w:tc>
        <w:tc>
          <w:tcPr>
            <w:tcW w:w="1276"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所属专业类(代码)</w:t>
            </w:r>
          </w:p>
        </w:tc>
        <w:tc>
          <w:tcPr>
            <w:tcW w:w="1418"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对应行业</w:t>
            </w:r>
          </w:p>
          <w:p>
            <w:pPr>
              <w:jc w:val="center"/>
              <w:rPr>
                <w:rFonts w:asciiTheme="minorEastAsia" w:hAnsiTheme="minorEastAsia" w:eastAsiaTheme="minorEastAsia"/>
                <w:b/>
              </w:rPr>
            </w:pPr>
            <w:r>
              <w:rPr>
                <w:rFonts w:hint="eastAsia" w:asciiTheme="minorEastAsia" w:hAnsiTheme="minorEastAsia" w:eastAsiaTheme="minorEastAsia"/>
                <w:b/>
              </w:rPr>
              <w:t>(代码)</w:t>
            </w:r>
          </w:p>
        </w:tc>
        <w:tc>
          <w:tcPr>
            <w:tcW w:w="1544"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主要职业类别 (代码)</w:t>
            </w:r>
          </w:p>
        </w:tc>
        <w:tc>
          <w:tcPr>
            <w:tcW w:w="1751"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主要岗位类别(或技术领域)</w:t>
            </w:r>
          </w:p>
        </w:tc>
        <w:tc>
          <w:tcPr>
            <w:tcW w:w="1659"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职业技能证书或技能等级证书举例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604" w:type="dxa"/>
            <w:vAlign w:val="center"/>
          </w:tcPr>
          <w:p>
            <w:pPr>
              <w:jc w:val="center"/>
              <w:rPr>
                <w:rFonts w:asciiTheme="minorEastAsia" w:hAnsiTheme="minorEastAsia" w:eastAsiaTheme="minorEastAsia"/>
              </w:rPr>
            </w:pPr>
            <w:r>
              <w:rPr>
                <w:rFonts w:hint="eastAsia" w:asciiTheme="minorEastAsia" w:hAnsiTheme="minorEastAsia" w:eastAsiaTheme="minorEastAsia"/>
              </w:rPr>
              <w:t>旅游大类（54）</w:t>
            </w:r>
          </w:p>
        </w:tc>
        <w:tc>
          <w:tcPr>
            <w:tcW w:w="1276" w:type="dxa"/>
            <w:vAlign w:val="center"/>
          </w:tcPr>
          <w:p>
            <w:pPr>
              <w:jc w:val="center"/>
              <w:rPr>
                <w:rFonts w:asciiTheme="minorEastAsia" w:hAnsiTheme="minorEastAsia" w:eastAsiaTheme="minorEastAsia"/>
              </w:rPr>
            </w:pPr>
            <w:r>
              <w:rPr>
                <w:rFonts w:hint="eastAsia" w:asciiTheme="minorEastAsia" w:hAnsiTheme="minorEastAsia" w:eastAsiaTheme="minorEastAsia"/>
              </w:rPr>
              <w:t>餐饮类（5402）</w:t>
            </w:r>
          </w:p>
        </w:tc>
        <w:tc>
          <w:tcPr>
            <w:tcW w:w="1418" w:type="dxa"/>
            <w:vAlign w:val="center"/>
          </w:tcPr>
          <w:p>
            <w:pPr>
              <w:jc w:val="center"/>
              <w:rPr>
                <w:rFonts w:asciiTheme="minorEastAsia" w:hAnsiTheme="minorEastAsia" w:eastAsiaTheme="minorEastAsia"/>
              </w:rPr>
            </w:pPr>
            <w:r>
              <w:rPr>
                <w:rFonts w:hint="eastAsia" w:asciiTheme="minorEastAsia" w:hAnsiTheme="minorEastAsia" w:eastAsiaTheme="minorEastAsia"/>
              </w:rPr>
              <w:t>餐饮业（62）</w:t>
            </w:r>
          </w:p>
        </w:tc>
        <w:tc>
          <w:tcPr>
            <w:tcW w:w="1544" w:type="dxa"/>
            <w:vAlign w:val="center"/>
          </w:tcPr>
          <w:p>
            <w:pPr>
              <w:jc w:val="center"/>
              <w:rPr>
                <w:rFonts w:asciiTheme="minorEastAsia" w:hAnsiTheme="minorEastAsia" w:eastAsiaTheme="minorEastAsia"/>
              </w:rPr>
            </w:pPr>
            <w:r>
              <w:rPr>
                <w:rFonts w:hint="eastAsia" w:asciiTheme="minorEastAsia" w:hAnsiTheme="minorEastAsia" w:eastAsiaTheme="minorEastAsia"/>
              </w:rPr>
              <w:t>住宿和餐饮服务人员（GBM 40300）</w:t>
            </w:r>
          </w:p>
        </w:tc>
        <w:tc>
          <w:tcPr>
            <w:tcW w:w="1751" w:type="dxa"/>
            <w:vAlign w:val="center"/>
          </w:tcPr>
          <w:p>
            <w:pPr>
              <w:jc w:val="center"/>
              <w:rPr>
                <w:rFonts w:asciiTheme="minorEastAsia" w:hAnsiTheme="minorEastAsia" w:eastAsiaTheme="minorEastAsia"/>
              </w:rPr>
            </w:pPr>
            <w:r>
              <w:rPr>
                <w:rFonts w:hint="eastAsia" w:asciiTheme="minorEastAsia" w:hAnsiTheme="minorEastAsia" w:eastAsiaTheme="minorEastAsia"/>
              </w:rPr>
              <w:t>住宿服务人员（GBM 40301）餐饮服务人员（GBM 40302）其他住宿和餐饮服务人员（GBM 40399）</w:t>
            </w:r>
          </w:p>
        </w:tc>
        <w:tc>
          <w:tcPr>
            <w:tcW w:w="1659" w:type="dxa"/>
            <w:vAlign w:val="center"/>
          </w:tcPr>
          <w:p>
            <w:pPr>
              <w:jc w:val="center"/>
              <w:rPr>
                <w:rFonts w:asciiTheme="minorEastAsia" w:hAnsiTheme="minorEastAsia" w:eastAsiaTheme="minorEastAsia"/>
              </w:rPr>
            </w:pPr>
            <w:r>
              <w:rPr>
                <w:rFonts w:hint="eastAsia" w:asciiTheme="minorEastAsia" w:hAnsiTheme="minorEastAsia" w:eastAsiaTheme="minorEastAsia"/>
              </w:rPr>
              <w:t>中式烹调师（初级、中级） 中式面点师（初级、中级） 西式烹调师（初级、中级） 西式面点师（初级、中级） 营养配餐师（四级、三级）</w:t>
            </w:r>
          </w:p>
        </w:tc>
      </w:tr>
    </w:tbl>
    <w:p>
      <w:pPr>
        <w:spacing w:before="312" w:beforeLines="100" w:line="360" w:lineRule="auto"/>
        <w:ind w:firstLine="560" w:firstLineChars="200"/>
        <w:outlineLvl w:val="1"/>
        <w:rPr>
          <w:rFonts w:eastAsia="黑体"/>
          <w:sz w:val="28"/>
          <w:szCs w:val="28"/>
        </w:rPr>
      </w:pPr>
      <w:r>
        <w:rPr>
          <w:rFonts w:hint="eastAsia" w:eastAsia="黑体"/>
          <w:sz w:val="28"/>
          <w:szCs w:val="28"/>
        </w:rPr>
        <w:t>五</w:t>
      </w:r>
      <w:r>
        <w:rPr>
          <w:rFonts w:eastAsia="黑体"/>
          <w:sz w:val="28"/>
          <w:szCs w:val="28"/>
        </w:rPr>
        <w:t>、培养目标与</w:t>
      </w:r>
      <w:r>
        <w:rPr>
          <w:rFonts w:hint="eastAsia" w:eastAsia="黑体"/>
          <w:sz w:val="28"/>
          <w:szCs w:val="28"/>
        </w:rPr>
        <w:t>培养</w:t>
      </w:r>
      <w:r>
        <w:rPr>
          <w:rFonts w:eastAsia="黑体"/>
          <w:sz w:val="28"/>
          <w:szCs w:val="28"/>
        </w:rPr>
        <w:t>规格</w:t>
      </w:r>
    </w:p>
    <w:p>
      <w:pPr>
        <w:pStyle w:val="55"/>
        <w:rPr>
          <w:rFonts w:ascii="黑体" w:hAnsi="黑体" w:eastAsia="黑体"/>
        </w:rPr>
      </w:pPr>
      <w:r>
        <w:rPr>
          <w:rFonts w:hint="eastAsia" w:ascii="黑体" w:hAnsi="黑体" w:eastAsia="黑体"/>
        </w:rPr>
        <w:t>（一）</w:t>
      </w:r>
      <w:r>
        <w:rPr>
          <w:rFonts w:ascii="黑体" w:hAnsi="黑体" w:eastAsia="黑体"/>
        </w:rPr>
        <w:t>培养目标</w:t>
      </w:r>
    </w:p>
    <w:p>
      <w:pPr>
        <w:spacing w:line="360" w:lineRule="auto"/>
        <w:ind w:firstLine="420" w:firstLineChars="200"/>
        <w:rPr>
          <w:szCs w:val="21"/>
        </w:rPr>
      </w:pPr>
      <w:r>
        <w:rPr>
          <w:rFonts w:hint="eastAsia"/>
          <w:szCs w:val="21"/>
        </w:rPr>
        <w:t>本专业培养思想政治坚定、德技并修、德智体美劳全面发展的中国特色社会主义现代化建设者和接班人。适应现代高星级酒店发展需要，具有良好职业道德和人文素养。本专业培养的学生主要面向粤西和珠三角区域，服务于旅游餐饮业、酒店等，培养德智体美全面发展，具有良好的职业道德和敬业精神，掌握现代烹饪、营养、餐饮管理的基本知识，</w:t>
      </w:r>
      <w:r>
        <w:rPr>
          <w:szCs w:val="21"/>
        </w:rPr>
        <w:t>具有较强烹饪技术</w:t>
      </w:r>
      <w:r>
        <w:rPr>
          <w:rFonts w:hint="eastAsia"/>
          <w:szCs w:val="21"/>
        </w:rPr>
        <w:t>和菜品创新能力</w:t>
      </w:r>
      <w:r>
        <w:rPr>
          <w:szCs w:val="21"/>
        </w:rPr>
        <w:t>，能从事</w:t>
      </w:r>
      <w:r>
        <w:rPr>
          <w:rFonts w:hint="eastAsia"/>
          <w:szCs w:val="21"/>
        </w:rPr>
        <w:t>中西餐</w:t>
      </w:r>
      <w:r>
        <w:rPr>
          <w:szCs w:val="21"/>
        </w:rPr>
        <w:t>烹饪操作、营养分析与营养配餐及餐饮业管理</w:t>
      </w:r>
      <w:r>
        <w:rPr>
          <w:rFonts w:hint="eastAsia"/>
          <w:szCs w:val="21"/>
        </w:rPr>
        <w:t>，满足宾馆、饭店等餐饮业的生产、建设、管理、服务一线需求的高素质技术技能型可持续发展人才</w:t>
      </w:r>
      <w:r>
        <w:rPr>
          <w:szCs w:val="21"/>
        </w:rPr>
        <w:t>。</w:t>
      </w:r>
    </w:p>
    <w:p>
      <w:pPr>
        <w:pStyle w:val="55"/>
        <w:rPr>
          <w:rFonts w:ascii="黑体" w:hAnsi="黑体" w:eastAsia="黑体"/>
        </w:rPr>
      </w:pPr>
      <w:r>
        <w:rPr>
          <w:rFonts w:hint="eastAsia" w:ascii="黑体" w:hAnsi="黑体" w:eastAsia="黑体"/>
        </w:rPr>
        <w:t>（二）培养规格</w:t>
      </w:r>
    </w:p>
    <w:p>
      <w:pPr>
        <w:spacing w:line="360" w:lineRule="auto"/>
        <w:ind w:firstLine="422" w:firstLineChars="200"/>
        <w:rPr>
          <w:rFonts w:ascii="宋体" w:hAnsi="宋体"/>
          <w:b/>
          <w:bCs/>
          <w:szCs w:val="21"/>
        </w:rPr>
      </w:pPr>
      <w:r>
        <w:rPr>
          <w:rFonts w:hint="eastAsia" w:ascii="宋体" w:hAnsi="宋体"/>
          <w:b/>
          <w:bCs/>
          <w:szCs w:val="21"/>
        </w:rPr>
        <w:t>1.素质要求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具有正确的世界观、人生观、价值观。坚决拥护中国共产党领导，树立中国特色社会主义共同理想</w:t>
      </w:r>
      <w:r>
        <w:rPr>
          <w:rFonts w:asciiTheme="minorEastAsia" w:hAnsiTheme="minorEastAsia" w:eastAsiaTheme="minorEastAsia"/>
          <w:szCs w:val="21"/>
        </w:rPr>
        <w:t>，</w:t>
      </w:r>
      <w:r>
        <w:rPr>
          <w:rFonts w:hint="eastAsia" w:asciiTheme="minorEastAsia" w:hAnsiTheme="minorEastAsia" w:eastAsiaTheme="minorEastAsia"/>
          <w:szCs w:val="21"/>
        </w:rPr>
        <w:t xml:space="preserve">践行社会主义核心价值观，具有深厚的爱国情感、国家认同感、中华民族自豪感:崇尚宪法、遵守法律、遵规守纪:具有社会责任感和参与意识。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具有良好的职业道德和职业素养。崇德向善、诚实守信、爱岗敬业，具有精益求精的工匠精神；尊重劳动、热爱劳动，具有较强的实践能力；具有质量意识、绿色环保意识、安全意识、信息素养、创新精神；具有加强的集体意识和团队合作精神，能够进行有效的人际沟通和协作，与社会、自然和谐共处；具有职业生涯规划意识。 </w:t>
      </w:r>
    </w:p>
    <w:p>
      <w:pPr>
        <w:spacing w:line="360" w:lineRule="auto"/>
        <w:ind w:firstLine="420" w:firstLineChars="200"/>
        <w:rPr>
          <w:szCs w:val="21"/>
        </w:rPr>
      </w:pPr>
      <w:r>
        <w:rPr>
          <w:rFonts w:hint="eastAsia" w:asciiTheme="minorEastAsia" w:hAnsiTheme="minorEastAsia" w:eastAsiaTheme="minorEastAsia"/>
          <w:szCs w:val="21"/>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360" w:lineRule="auto"/>
        <w:ind w:firstLine="422" w:firstLineChars="200"/>
        <w:rPr>
          <w:rFonts w:ascii="宋体" w:hAnsi="宋体"/>
          <w:b/>
          <w:bCs/>
          <w:szCs w:val="21"/>
        </w:rPr>
      </w:pPr>
      <w:r>
        <w:rPr>
          <w:rFonts w:hint="eastAsia" w:ascii="宋体" w:hAnsi="宋体"/>
          <w:b/>
          <w:bCs/>
          <w:szCs w:val="21"/>
        </w:rPr>
        <w:t>2.知识要求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具备扎实的英语、化学、计算机等基本理论知识；掌握烹调工艺、烹饪营养、餐饮企业管理学科的基本理论、基本知识；掌握中式热菜制作、中国名菜、食品雕刻与冷拼技术。</w:t>
      </w:r>
    </w:p>
    <w:p>
      <w:pPr>
        <w:spacing w:line="360" w:lineRule="auto"/>
        <w:ind w:firstLine="422" w:firstLineChars="200"/>
        <w:rPr>
          <w:rFonts w:ascii="宋体" w:hAnsi="宋体"/>
          <w:b/>
          <w:bCs/>
          <w:szCs w:val="21"/>
        </w:rPr>
      </w:pPr>
      <w:r>
        <w:rPr>
          <w:rFonts w:hint="eastAsia" w:ascii="宋体" w:hAnsi="宋体"/>
          <w:b/>
          <w:bCs/>
          <w:szCs w:val="21"/>
        </w:rPr>
        <w:t>3.能力要求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能按菜系要求，完成宴席设计与相关菜品制作。具有食材优劣鉴定、食材储存技术，以及食材加工与处理、食材营养搭配等方面的能力。能应用美学理论及设计理论对食品原材料色型搭配、展现出菜品色、香、味、型的初步能力。了解国内外烹饪学科的理论前沿、应用前景及发展动态；熟悉我国八大菜系、地方饮食习惯及名菜名点、食品制作法规。</w:t>
      </w:r>
    </w:p>
    <w:p>
      <w:pPr>
        <w:spacing w:line="360" w:lineRule="auto"/>
        <w:ind w:firstLine="560" w:firstLineChars="200"/>
        <w:outlineLvl w:val="1"/>
        <w:rPr>
          <w:rFonts w:eastAsia="黑体"/>
          <w:sz w:val="28"/>
          <w:szCs w:val="28"/>
        </w:rPr>
      </w:pPr>
      <w:r>
        <w:rPr>
          <w:rFonts w:hint="eastAsia" w:eastAsia="黑体"/>
          <w:sz w:val="28"/>
          <w:szCs w:val="28"/>
        </w:rPr>
        <w:t>六</w:t>
      </w:r>
      <w:r>
        <w:rPr>
          <w:rFonts w:eastAsia="黑体"/>
          <w:sz w:val="28"/>
          <w:szCs w:val="28"/>
        </w:rPr>
        <w:t>、课程</w:t>
      </w:r>
      <w:r>
        <w:rPr>
          <w:rFonts w:hint="eastAsia" w:eastAsia="黑体"/>
          <w:sz w:val="28"/>
          <w:szCs w:val="28"/>
        </w:rPr>
        <w:t>设置及要求</w:t>
      </w:r>
    </w:p>
    <w:p>
      <w:pPr>
        <w:spacing w:line="360" w:lineRule="auto"/>
        <w:ind w:firstLine="480" w:firstLineChars="200"/>
        <w:rPr>
          <w:rFonts w:ascii="黑体" w:hAnsi="黑体" w:eastAsia="黑体" w:cs="黑体"/>
          <w:bCs/>
          <w:sz w:val="24"/>
        </w:rPr>
      </w:pPr>
      <w:r>
        <w:rPr>
          <w:rFonts w:hint="eastAsia" w:ascii="黑体" w:hAnsi="黑体" w:eastAsia="黑体" w:cs="黑体"/>
          <w:bCs/>
          <w:sz w:val="24"/>
        </w:rPr>
        <w:t xml:space="preserve">（一）课程体系 </w:t>
      </w:r>
    </w:p>
    <w:p>
      <w:pPr>
        <w:adjustRightInd w:val="0"/>
        <w:spacing w:line="360" w:lineRule="auto"/>
        <w:ind w:firstLine="420" w:firstLineChars="200"/>
        <w:outlineLvl w:val="2"/>
        <w:rPr>
          <w:rFonts w:ascii="黑体" w:hAnsi="黑体" w:eastAsia="黑体"/>
          <w:sz w:val="24"/>
        </w:rPr>
      </w:pPr>
      <w:r>
        <w:rPr>
          <w:rFonts w:hint="eastAsia" w:ascii="宋体" w:hAnsi="宋体" w:cs="微软雅黑"/>
          <w:szCs w:val="21"/>
        </w:rPr>
        <w:t>本专业以职业能力为主线，构建了工学结合、学做一体、个性培养的课程体系，该体系分为公共课、专业核心课、其他专业课、实训实习课、公共选修课以及专业选修课等模块。公共基础课主要安排在第一、二学期完成，主要是使学生了解社会，提高学生人文科学素养，培养学生的社会能力，为进一步学习专业课程打好基础。部分公共基础课贯穿人才培养全过程，如劳动教育、创新创业教育。专业核心课程主要安排在第三、四学期，是形成学生职业素养和职业能力的最重要课程；其他专业课则是对专业核心课的有益辅助和补充，帮助学生更好地进行专业学习；实训实习课中的毕业设计（论文）安排在第五学期和第六期，顶岗实习安排在六学期，是专业理论知识和专业技能在实际工作的综合运用，也是专业教育在校外的延续，以提高学生的社会能力和职业工作能力，以及运用专业知识技能解决实际问题的能力。选修课主要安排专业外的拓展课程，以拓宽学生的知识面和提高学生人文科学素养。</w:t>
      </w:r>
    </w:p>
    <w:p>
      <w:pPr>
        <w:adjustRightInd w:val="0"/>
        <w:spacing w:line="360" w:lineRule="auto"/>
        <w:ind w:firstLine="480" w:firstLineChars="200"/>
        <w:outlineLvl w:val="2"/>
        <w:rPr>
          <w:rFonts w:ascii="黑体" w:hAnsi="黑体" w:eastAsia="黑体"/>
          <w:sz w:val="24"/>
        </w:rPr>
      </w:pPr>
      <w:r>
        <w:rPr>
          <w:rFonts w:hint="eastAsia" w:ascii="黑体" w:hAnsi="黑体" w:eastAsia="黑体"/>
          <w:sz w:val="24"/>
        </w:rPr>
        <w:t>（二）公共基础课程</w:t>
      </w:r>
    </w:p>
    <w:p>
      <w:pPr>
        <w:spacing w:line="360" w:lineRule="auto"/>
        <w:ind w:firstLine="420" w:firstLineChars="200"/>
        <w:rPr>
          <w:rFonts w:ascii="宋体" w:hAnsi="宋体" w:cs="微软雅黑"/>
          <w:szCs w:val="21"/>
        </w:rPr>
      </w:pPr>
      <w:r>
        <w:rPr>
          <w:rFonts w:hint="eastAsia" w:ascii="宋体" w:hAnsi="宋体" w:cs="微软雅黑"/>
          <w:szCs w:val="21"/>
        </w:rPr>
        <w:t>公共基础课程教学内容及要求如表二所示。</w:t>
      </w:r>
    </w:p>
    <w:p>
      <w:pPr>
        <w:spacing w:line="360" w:lineRule="auto"/>
        <w:jc w:val="center"/>
        <w:rPr>
          <w:rFonts w:ascii="宋体" w:hAnsi="宋体" w:cs="微软雅黑"/>
          <w:szCs w:val="21"/>
        </w:rPr>
      </w:pPr>
      <w:r>
        <w:rPr>
          <w:rFonts w:hint="eastAsia" w:ascii="宋体" w:hAnsi="宋体" w:cs="微软雅黑"/>
          <w:szCs w:val="21"/>
        </w:rPr>
        <w:t>表二</w:t>
      </w:r>
      <w:r>
        <w:rPr>
          <w:rFonts w:ascii="宋体" w:hAnsi="宋体" w:cs="微软雅黑"/>
          <w:szCs w:val="21"/>
        </w:rPr>
        <w:t xml:space="preserve">  </w:t>
      </w:r>
      <w:r>
        <w:rPr>
          <w:rFonts w:hint="eastAsia" w:ascii="宋体" w:hAnsi="宋体" w:cs="微软雅黑"/>
          <w:szCs w:val="21"/>
        </w:rPr>
        <w:t>公共基础课程教学内容及要求</w:t>
      </w:r>
    </w:p>
    <w:tbl>
      <w:tblPr>
        <w:tblStyle w:val="15"/>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801" w:type="dxa"/>
            <w:vAlign w:val="center"/>
          </w:tcPr>
          <w:p>
            <w:pPr>
              <w:jc w:val="center"/>
              <w:rPr>
                <w:rFonts w:ascii="宋体" w:hAnsi="宋体" w:cs="微软雅黑"/>
                <w:szCs w:val="21"/>
              </w:rPr>
            </w:pPr>
            <w:r>
              <w:rPr>
                <w:rFonts w:hint="eastAsia" w:ascii="宋体" w:hAnsi="宋体" w:cs="微软雅黑"/>
                <w:szCs w:val="21"/>
              </w:rPr>
              <w:t>序号</w:t>
            </w:r>
          </w:p>
        </w:tc>
        <w:tc>
          <w:tcPr>
            <w:tcW w:w="1280" w:type="dxa"/>
            <w:vAlign w:val="center"/>
          </w:tcPr>
          <w:p>
            <w:pPr>
              <w:jc w:val="center"/>
              <w:rPr>
                <w:rFonts w:ascii="宋体" w:hAnsi="宋体" w:cs="微软雅黑"/>
                <w:szCs w:val="21"/>
              </w:rPr>
            </w:pPr>
            <w:r>
              <w:rPr>
                <w:rFonts w:hint="eastAsia" w:ascii="宋体" w:hAnsi="宋体" w:cs="微软雅黑"/>
                <w:szCs w:val="21"/>
              </w:rPr>
              <w:t>课程名称</w:t>
            </w:r>
          </w:p>
        </w:tc>
        <w:tc>
          <w:tcPr>
            <w:tcW w:w="7018" w:type="dxa"/>
            <w:vAlign w:val="center"/>
          </w:tcPr>
          <w:p>
            <w:pPr>
              <w:jc w:val="center"/>
              <w:rPr>
                <w:rFonts w:ascii="宋体" w:hAnsi="宋体" w:cs="微软雅黑"/>
                <w:szCs w:val="21"/>
              </w:rPr>
            </w:pPr>
            <w:r>
              <w:rPr>
                <w:rFonts w:hint="eastAsia" w:ascii="宋体" w:hAnsi="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w:t>
            </w:r>
          </w:p>
        </w:tc>
        <w:tc>
          <w:tcPr>
            <w:tcW w:w="1280" w:type="dxa"/>
            <w:vAlign w:val="center"/>
          </w:tcPr>
          <w:p>
            <w:pPr>
              <w:widowControl/>
              <w:jc w:val="center"/>
              <w:rPr>
                <w:rFonts w:ascii="宋体" w:hAnsi="宋体" w:cs="微软雅黑"/>
                <w:szCs w:val="21"/>
              </w:rPr>
            </w:pPr>
            <w:r>
              <w:rPr>
                <w:rFonts w:hint="eastAsia" w:ascii="宋体" w:hAnsi="宋体" w:cs="宋体"/>
                <w:kern w:val="0"/>
                <w:szCs w:val="21"/>
                <w:lang w:bidi="ar"/>
              </w:rPr>
              <w:t>军事理论</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lang w:bidi="ar"/>
              </w:rPr>
              <w:t>通过本课程教学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2</w:t>
            </w:r>
          </w:p>
        </w:tc>
        <w:tc>
          <w:tcPr>
            <w:tcW w:w="1280" w:type="dxa"/>
            <w:vAlign w:val="center"/>
          </w:tcPr>
          <w:p>
            <w:pPr>
              <w:widowControl/>
              <w:jc w:val="center"/>
              <w:rPr>
                <w:rFonts w:ascii="宋体" w:hAnsi="宋体" w:cs="宋体"/>
                <w:kern w:val="0"/>
                <w:szCs w:val="21"/>
                <w:lang w:bidi="ar"/>
              </w:rPr>
            </w:pPr>
            <w:r>
              <w:rPr>
                <w:rFonts w:hint="eastAsia" w:ascii="宋体" w:hAnsi="宋体" w:cs="宋体"/>
                <w:kern w:val="0"/>
                <w:szCs w:val="21"/>
                <w:lang w:bidi="ar"/>
              </w:rPr>
              <w:t>军事技能</w:t>
            </w:r>
          </w:p>
        </w:tc>
        <w:tc>
          <w:tcPr>
            <w:tcW w:w="7018" w:type="dxa"/>
            <w:vAlign w:val="center"/>
          </w:tcPr>
          <w:p>
            <w:pPr>
              <w:widowControl/>
              <w:ind w:firstLine="420" w:firstLineChars="200"/>
              <w:jc w:val="left"/>
              <w:rPr>
                <w:rFonts w:ascii="宋体" w:hAnsi="宋体" w:cs="宋体"/>
                <w:kern w:val="0"/>
                <w:szCs w:val="21"/>
                <w:lang w:bidi="ar"/>
              </w:rPr>
            </w:pPr>
            <w:r>
              <w:rPr>
                <w:rFonts w:hint="eastAsia" w:ascii="宋体" w:hAnsi="宋体" w:cs="宋体"/>
                <w:kern w:val="0"/>
                <w:szCs w:val="21"/>
                <w:lang w:bidi="ar"/>
              </w:rPr>
              <w:t>本课程通过共同条例教育，分队的队列动作等，掌握基本的军事技能，培养良好的军人素质和作风。增强组织性和纪律性，培养吃苦耐劳和顽强拼搏的精神，促进校纪校风和校园精神文明建设。同时使增强国防观念、国家安全意识和忧患危机意识，弘扬爱国主义精神、传承红色基因、提高学生综合国防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3</w:t>
            </w:r>
          </w:p>
        </w:tc>
        <w:tc>
          <w:tcPr>
            <w:tcW w:w="1280" w:type="dxa"/>
            <w:vAlign w:val="center"/>
          </w:tcPr>
          <w:p>
            <w:pPr>
              <w:widowControl/>
              <w:jc w:val="center"/>
              <w:rPr>
                <w:rFonts w:ascii="宋体" w:hAnsi="宋体" w:cs="宋体"/>
                <w:kern w:val="0"/>
                <w:szCs w:val="21"/>
                <w:lang w:bidi="ar"/>
              </w:rPr>
            </w:pPr>
            <w:r>
              <w:rPr>
                <w:rFonts w:hint="eastAsia" w:ascii="宋体" w:hAnsi="宋体" w:cs="宋体"/>
                <w:kern w:val="0"/>
                <w:szCs w:val="21"/>
                <w:lang w:bidi="ar"/>
              </w:rPr>
              <w:t>毛泽东思想和中国特色社会主义理论体系概论</w:t>
            </w:r>
          </w:p>
        </w:tc>
        <w:tc>
          <w:tcPr>
            <w:tcW w:w="7018" w:type="dxa"/>
            <w:vAlign w:val="center"/>
          </w:tcPr>
          <w:p>
            <w:pPr>
              <w:widowControl/>
              <w:ind w:firstLine="420" w:firstLineChars="200"/>
              <w:jc w:val="left"/>
              <w:rPr>
                <w:rFonts w:ascii="宋体" w:hAnsi="宋体" w:cs="宋体"/>
                <w:kern w:val="0"/>
                <w:szCs w:val="21"/>
                <w:lang w:bidi="ar"/>
              </w:rPr>
            </w:pPr>
            <w:r>
              <w:rPr>
                <w:rFonts w:hint="eastAsia" w:ascii="宋体" w:hAnsi="宋体" w:cs="宋体"/>
                <w:kern w:val="0"/>
                <w:szCs w:val="21"/>
                <w:lang w:bidi="ar"/>
              </w:rPr>
              <w:t>本课程讲授中国共产党把马克思主义基本原理与中国实际相结合的历史进程，充分反映马克思主义中国化的两大理论成果，帮助学生系统掌握毛泽东思想和中国特色社会主义理论体系基本原理，坚定在党的领导下走中国特色社会主义道路的理想信念。本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4</w:t>
            </w:r>
          </w:p>
        </w:tc>
        <w:tc>
          <w:tcPr>
            <w:tcW w:w="1280" w:type="dxa"/>
            <w:vAlign w:val="center"/>
          </w:tcPr>
          <w:p>
            <w:pPr>
              <w:widowControl/>
              <w:jc w:val="center"/>
              <w:rPr>
                <w:rFonts w:ascii="宋体" w:hAnsi="宋体" w:cs="微软雅黑"/>
                <w:szCs w:val="21"/>
              </w:rPr>
            </w:pPr>
            <w:r>
              <w:rPr>
                <w:rFonts w:hint="eastAsia" w:ascii="宋体" w:hAnsi="宋体" w:cs="宋体"/>
                <w:kern w:val="0"/>
                <w:szCs w:val="21"/>
                <w:lang w:bidi="ar"/>
              </w:rPr>
              <w:t>思想道德修养与法律基础</w:t>
            </w:r>
          </w:p>
        </w:tc>
        <w:tc>
          <w:tcPr>
            <w:tcW w:w="7018" w:type="dxa"/>
            <w:vAlign w:val="center"/>
          </w:tcPr>
          <w:p>
            <w:pPr>
              <w:widowControl/>
              <w:ind w:firstLine="420" w:firstLineChars="200"/>
              <w:rPr>
                <w:rFonts w:ascii="宋体" w:hAnsi="宋体" w:cs="微软雅黑"/>
                <w:szCs w:val="21"/>
              </w:rPr>
            </w:pPr>
            <w:r>
              <w:rPr>
                <w:rFonts w:hint="eastAsia" w:ascii="宋体" w:hAnsi="宋体" w:cs="宋体"/>
                <w:kern w:val="0"/>
                <w:szCs w:val="21"/>
                <w:lang w:bidi="ar"/>
              </w:rPr>
              <w:t xml:space="preserve">本课程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5</w:t>
            </w:r>
          </w:p>
        </w:tc>
        <w:tc>
          <w:tcPr>
            <w:tcW w:w="1280" w:type="dxa"/>
            <w:vAlign w:val="center"/>
          </w:tcPr>
          <w:p>
            <w:pPr>
              <w:widowControl/>
              <w:jc w:val="center"/>
              <w:rPr>
                <w:rFonts w:ascii="宋体" w:hAnsi="宋体" w:cs="宋体"/>
                <w:kern w:val="0"/>
                <w:szCs w:val="21"/>
                <w:lang w:bidi="ar"/>
              </w:rPr>
            </w:pPr>
            <w:r>
              <w:rPr>
                <w:rFonts w:hint="eastAsia" w:ascii="宋体" w:hAnsi="宋体" w:cs="宋体"/>
                <w:kern w:val="0"/>
                <w:szCs w:val="21"/>
                <w:lang w:bidi="ar"/>
              </w:rPr>
              <w:t>形势与政策</w:t>
            </w:r>
          </w:p>
        </w:tc>
        <w:tc>
          <w:tcPr>
            <w:tcW w:w="7018" w:type="dxa"/>
            <w:vAlign w:val="center"/>
          </w:tcPr>
          <w:p>
            <w:pPr>
              <w:widowControl/>
              <w:ind w:firstLine="420" w:firstLineChars="200"/>
              <w:jc w:val="left"/>
              <w:rPr>
                <w:rFonts w:ascii="宋体" w:hAnsi="宋体" w:cs="宋体"/>
                <w:kern w:val="0"/>
                <w:szCs w:val="21"/>
                <w:lang w:bidi="ar"/>
              </w:rPr>
            </w:pPr>
            <w:r>
              <w:rPr>
                <w:rFonts w:hint="eastAsia" w:ascii="宋体" w:hAnsi="宋体" w:cs="宋体"/>
                <w:kern w:val="0"/>
                <w:szCs w:val="21"/>
                <w:lang w:bidi="ar"/>
              </w:rPr>
              <w:t>通过本课程的教学，使学生了解国内外的重大时事，全面认识和正确理解党的基本路线、重大方针和政策，认清形势和任务，掌握时代的脉搏，激发爱国主义精神，增强民主自信心和社会责任感，珍惜和维护国家稳定的大局，为建设有中国特色的社会主义而奋发学习、健康成长。课程内容紧密结合国内外形势，紧密结合学生的思想实际，通过适时地进行形势政策、世界政治经济与国际关系基本知识的教育，帮助学生开阔视野，及时了解和正确对待国内外重大时事，使学生在改革开放的环境下有坚定的立场、有较强的分析能力和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6</w:t>
            </w:r>
          </w:p>
        </w:tc>
        <w:tc>
          <w:tcPr>
            <w:tcW w:w="1280" w:type="dxa"/>
            <w:vAlign w:val="center"/>
          </w:tcPr>
          <w:p>
            <w:pPr>
              <w:widowControl/>
              <w:jc w:val="center"/>
              <w:rPr>
                <w:rFonts w:ascii="宋体" w:hAnsi="宋体" w:cs="宋体"/>
                <w:kern w:val="0"/>
                <w:szCs w:val="21"/>
                <w:lang w:bidi="ar"/>
              </w:rPr>
            </w:pPr>
            <w:r>
              <w:rPr>
                <w:rFonts w:hint="eastAsia" w:ascii="宋体" w:hAnsi="宋体" w:cs="宋体"/>
                <w:kern w:val="0"/>
                <w:szCs w:val="21"/>
                <w:lang w:bidi="ar"/>
              </w:rPr>
              <w:t>英语</w:t>
            </w:r>
          </w:p>
        </w:tc>
        <w:tc>
          <w:tcPr>
            <w:tcW w:w="7018" w:type="dxa"/>
            <w:vAlign w:val="center"/>
          </w:tcPr>
          <w:p>
            <w:pPr>
              <w:widowControl/>
              <w:ind w:firstLine="420" w:firstLineChars="200"/>
              <w:jc w:val="left"/>
              <w:rPr>
                <w:rFonts w:ascii="宋体" w:hAnsi="宋体" w:cs="宋体"/>
                <w:kern w:val="0"/>
                <w:szCs w:val="21"/>
                <w:lang w:bidi="ar"/>
              </w:rPr>
            </w:pPr>
            <w:r>
              <w:rPr>
                <w:rFonts w:hint="eastAsia" w:ascii="宋体" w:hAnsi="宋体" w:cs="宋体"/>
                <w:kern w:val="0"/>
                <w:szCs w:val="21"/>
                <w:lang w:bidi="ar"/>
              </w:rPr>
              <w:t xml:space="preserve">本课程以培养学生实际应用英语的能力为目标，侧重职场环境中英语实际能力的培养，使学生逐步提高用英语进行交流和沟通的能力。同时，使学生掌握有效的学习方法和策略，培养学生的学习兴趣和自主学习能力，提高学生的综合文化素养和跨文化交际意识，为提升学生的就业竞争力及未来的可持续发展打下必要的基础。掌握 3500 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7</w:t>
            </w:r>
          </w:p>
        </w:tc>
        <w:tc>
          <w:tcPr>
            <w:tcW w:w="1280" w:type="dxa"/>
            <w:vAlign w:val="center"/>
          </w:tcPr>
          <w:p>
            <w:pPr>
              <w:widowControl/>
              <w:jc w:val="center"/>
              <w:rPr>
                <w:rFonts w:ascii="宋体" w:hAnsi="宋体" w:cs="微软雅黑"/>
                <w:szCs w:val="21"/>
              </w:rPr>
            </w:pPr>
            <w:r>
              <w:rPr>
                <w:rFonts w:hint="eastAsia" w:ascii="宋体" w:hAnsi="宋体" w:cs="宋体"/>
                <w:kern w:val="0"/>
                <w:szCs w:val="21"/>
                <w:lang w:bidi="ar"/>
              </w:rPr>
              <w:t>体育</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lang w:bidi="ar"/>
              </w:rPr>
              <w:t>本课程中身体素质锻炼贯穿始终，学生通过该课程学习，在运动参与、运动技能、身体健康、心理健康和社会适应五个学习领域中有所提高，掌握科学锻炼的基本知识、技术，培养其锻炼的兴趣和习惯，以充分发挥学生的主体能动性，为终身体育打下基础。通过课程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8</w:t>
            </w:r>
          </w:p>
        </w:tc>
        <w:tc>
          <w:tcPr>
            <w:tcW w:w="1280" w:type="dxa"/>
            <w:vAlign w:val="center"/>
          </w:tcPr>
          <w:p>
            <w:pPr>
              <w:widowControl/>
              <w:jc w:val="center"/>
              <w:rPr>
                <w:rFonts w:ascii="宋体" w:hAnsi="宋体" w:cs="微软雅黑"/>
                <w:szCs w:val="21"/>
              </w:rPr>
            </w:pPr>
            <w:r>
              <w:rPr>
                <w:rFonts w:hint="eastAsia" w:ascii="宋体" w:hAnsi="宋体" w:cs="宋体"/>
                <w:kern w:val="0"/>
                <w:szCs w:val="21"/>
                <w:lang w:bidi="ar"/>
              </w:rPr>
              <w:t>体育测试</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微软雅黑"/>
                <w:szCs w:val="21"/>
              </w:rPr>
              <w:t>通过对学生身高、体重、肺活量、坐立体前屈、立定跳远、50米、1分钟仰卧起坐（女）、引体向上（男）、800米跑（女）、1000米跑（男）等的测试，对学生体质状况和体育锻炼效果进行评价，以指导学生科学开展体育活动和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9</w:t>
            </w:r>
          </w:p>
        </w:tc>
        <w:tc>
          <w:tcPr>
            <w:tcW w:w="1280" w:type="dxa"/>
            <w:vAlign w:val="center"/>
          </w:tcPr>
          <w:p>
            <w:pPr>
              <w:widowControl/>
              <w:jc w:val="center"/>
              <w:rPr>
                <w:rFonts w:ascii="宋体" w:hAnsi="宋体" w:cs="微软雅黑"/>
                <w:szCs w:val="21"/>
              </w:rPr>
            </w:pPr>
            <w:r>
              <w:rPr>
                <w:rFonts w:hint="eastAsia" w:ascii="宋体" w:hAnsi="宋体" w:cs="宋体"/>
                <w:kern w:val="0"/>
                <w:szCs w:val="21"/>
                <w:lang w:bidi="ar"/>
              </w:rPr>
              <w:t>信息技术</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lang w:bidi="ar"/>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10</w:t>
            </w:r>
          </w:p>
        </w:tc>
        <w:tc>
          <w:tcPr>
            <w:tcW w:w="1280" w:type="dxa"/>
            <w:vAlign w:val="center"/>
          </w:tcPr>
          <w:p>
            <w:pPr>
              <w:spacing w:line="360" w:lineRule="auto"/>
              <w:jc w:val="center"/>
              <w:rPr>
                <w:rFonts w:ascii="宋体" w:hAnsi="宋体" w:cs="微软雅黑"/>
                <w:szCs w:val="21"/>
              </w:rPr>
            </w:pPr>
            <w:r>
              <w:rPr>
                <w:rFonts w:hint="eastAsia" w:ascii="宋体" w:hAnsi="宋体" w:cs="微软雅黑"/>
                <w:szCs w:val="21"/>
              </w:rPr>
              <w:t>大学语文</w:t>
            </w:r>
          </w:p>
        </w:tc>
        <w:tc>
          <w:tcPr>
            <w:tcW w:w="7018" w:type="dxa"/>
            <w:vAlign w:val="center"/>
          </w:tcPr>
          <w:p>
            <w:pPr>
              <w:widowControl/>
              <w:ind w:firstLine="420" w:firstLineChars="200"/>
              <w:jc w:val="left"/>
              <w:rPr>
                <w:rFonts w:ascii="宋体" w:hAnsi="宋体" w:cs="宋体"/>
                <w:kern w:val="0"/>
                <w:sz w:val="24"/>
                <w:lang w:bidi="ar"/>
              </w:rPr>
            </w:pPr>
            <w:r>
              <w:rPr>
                <w:rFonts w:hint="eastAsia" w:ascii="宋体" w:hAnsi="宋体" w:cs="宋体"/>
                <w:kern w:val="0"/>
                <w:szCs w:val="21"/>
                <w:lang w:bidi="ar"/>
              </w:rPr>
              <w:t>通过本课程教学提高和强化学生对本民族语言文字的理解能力和运用水平。帮助学生继续积累本国语文的有关知识，继续培养他们阅读分析能力和文字表达能力，打好扎实的语文根底。通过阅读理解文学作品提高学生的思维品质和审美悟性。教育、引导学生阅读理解优秀的文学作品，帮助他们突破思维定势，激发创造精神，学会形象思维与逻辑思维，从而建构起开放灵活的思维方式。同时，在教学的过程中，帮助学生辨别真善美与假恶丑，培养丰富的想象和联想能力，提高审美悟性，形成健康高雅的审美心理和情趣。以中国文学所体现的人文精神及优秀传统熏陶学生。要把传授知识与陶冶情操结合起来，发掘优秀文学作品所蕴涵的内在思想教育、情感熏陶因素，帮助学生树立正确的世界观、人生观和价值观，增强爱国主义精神和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11</w:t>
            </w:r>
          </w:p>
        </w:tc>
        <w:tc>
          <w:tcPr>
            <w:tcW w:w="1280" w:type="dxa"/>
            <w:vAlign w:val="center"/>
          </w:tcPr>
          <w:p>
            <w:pPr>
              <w:widowControl/>
              <w:jc w:val="center"/>
              <w:rPr>
                <w:rFonts w:ascii="宋体" w:hAnsi="宋体" w:cs="微软雅黑"/>
                <w:szCs w:val="21"/>
              </w:rPr>
            </w:pPr>
            <w:r>
              <w:rPr>
                <w:rFonts w:hint="eastAsia" w:ascii="宋体" w:hAnsi="宋体" w:cs="宋体"/>
                <w:kern w:val="0"/>
                <w:szCs w:val="21"/>
                <w:lang w:bidi="ar"/>
              </w:rPr>
              <w:t>大学生心理健康</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lang w:bidi="ar"/>
              </w:rPr>
              <w:t>本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r>
              <w:rPr>
                <w:rFonts w:hint="eastAsia" w:ascii="宋体" w:hAnsi="宋体" w:cs="宋体"/>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12</w:t>
            </w:r>
          </w:p>
        </w:tc>
        <w:tc>
          <w:tcPr>
            <w:tcW w:w="1280" w:type="dxa"/>
            <w:vAlign w:val="center"/>
          </w:tcPr>
          <w:p>
            <w:pPr>
              <w:spacing w:line="360" w:lineRule="auto"/>
              <w:jc w:val="center"/>
              <w:rPr>
                <w:rFonts w:ascii="宋体" w:hAnsi="宋体" w:cs="微软雅黑"/>
                <w:szCs w:val="21"/>
              </w:rPr>
            </w:pPr>
            <w:r>
              <w:rPr>
                <w:rFonts w:hint="eastAsia" w:ascii="宋体" w:hAnsi="宋体" w:cs="微软雅黑"/>
                <w:szCs w:val="21"/>
              </w:rPr>
              <w:t>大学生职业发展和就业指导</w:t>
            </w:r>
          </w:p>
        </w:tc>
        <w:tc>
          <w:tcPr>
            <w:tcW w:w="7018" w:type="dxa"/>
            <w:vAlign w:val="center"/>
          </w:tcPr>
          <w:p>
            <w:pPr>
              <w:widowControl/>
              <w:ind w:firstLine="420" w:firstLineChars="200"/>
              <w:jc w:val="left"/>
              <w:rPr>
                <w:rFonts w:ascii="宋体" w:hAnsi="宋体" w:cs="宋体"/>
                <w:kern w:val="0"/>
                <w:sz w:val="24"/>
                <w:lang w:bidi="ar"/>
              </w:rPr>
            </w:pPr>
            <w:r>
              <w:rPr>
                <w:rFonts w:hint="eastAsia" w:ascii="宋体" w:hAnsi="宋体" w:cs="宋体"/>
                <w:kern w:val="0"/>
                <w:szCs w:val="21"/>
                <w:lang w:bidi="ar"/>
              </w:rPr>
              <w:t>本课程是公共必修课程，既强调职业在人生发展中的重要地位，又关注学生的全面发展和终身发展。通过激发学生职业生涯发展的自主意识，树立科学的就业观、创业观，促使大学生理性地规划自身未来的发展，并努力在学习过程中自觉地提高就业能力和创新能力。通过本课程的教学，培养大学生职业生涯发展的自主意识，教育引导学生树立积极正确的人生观、价值观和就业观，自觉把个人发展和国家需要、社会发展相结合，为个人生涯发展和社会发展不懈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13</w:t>
            </w:r>
          </w:p>
        </w:tc>
        <w:tc>
          <w:tcPr>
            <w:tcW w:w="1280" w:type="dxa"/>
            <w:vAlign w:val="center"/>
          </w:tcPr>
          <w:p>
            <w:pPr>
              <w:widowControl/>
              <w:jc w:val="center"/>
              <w:rPr>
                <w:rFonts w:ascii="宋体" w:hAnsi="宋体" w:cs="微软雅黑"/>
                <w:szCs w:val="21"/>
              </w:rPr>
            </w:pPr>
            <w:r>
              <w:rPr>
                <w:rFonts w:hint="eastAsia" w:ascii="宋体" w:hAnsi="宋体" w:cs="宋体"/>
                <w:kern w:val="0"/>
                <w:szCs w:val="21"/>
                <w:lang w:bidi="ar"/>
              </w:rPr>
              <w:t>大学生创新创业指导</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lang w:bidi="ar"/>
              </w:rPr>
              <w:t xml:space="preserve">本课程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有利于引导高职学生理性规划个人职业生涯发展，帮助高职学生了解社会需要及认识自身优势，促进学生职业素质发展，激发创业精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14</w:t>
            </w:r>
          </w:p>
        </w:tc>
        <w:tc>
          <w:tcPr>
            <w:tcW w:w="1280" w:type="dxa"/>
            <w:vAlign w:val="center"/>
          </w:tcPr>
          <w:p>
            <w:pPr>
              <w:spacing w:line="360" w:lineRule="auto"/>
              <w:jc w:val="center"/>
              <w:rPr>
                <w:rFonts w:ascii="宋体" w:hAnsi="宋体" w:cs="宋体"/>
                <w:kern w:val="0"/>
                <w:szCs w:val="21"/>
                <w:lang w:bidi="ar"/>
              </w:rPr>
            </w:pPr>
            <w:r>
              <w:rPr>
                <w:rFonts w:hint="eastAsia" w:ascii="宋体" w:hAnsi="宋体" w:cs="宋体"/>
                <w:kern w:val="0"/>
                <w:szCs w:val="21"/>
                <w:lang w:bidi="ar"/>
              </w:rPr>
              <w:t>国家安全教育</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微软雅黑"/>
                <w:szCs w:val="21"/>
              </w:rPr>
              <w:t>通过本课程教学并结合专题教育，使学生能够深入理解和准确把握总体国家安全观，牢固树立国家利益至上的观念，增强自觉维护国家安全意识，具备维护国家安全的能力。并要求学生系统掌握总体国家安全观的内涵和精神实质，理解中国特色国家安全体系，树立国家安全底线思维，将国家安全意识转化为自觉行动，强化责任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15</w:t>
            </w:r>
          </w:p>
        </w:tc>
        <w:tc>
          <w:tcPr>
            <w:tcW w:w="1280" w:type="dxa"/>
            <w:vAlign w:val="center"/>
          </w:tcPr>
          <w:p>
            <w:pPr>
              <w:spacing w:line="360" w:lineRule="auto"/>
              <w:jc w:val="center"/>
              <w:rPr>
                <w:rFonts w:ascii="宋体" w:hAnsi="宋体" w:cs="微软雅黑"/>
                <w:szCs w:val="21"/>
              </w:rPr>
            </w:pPr>
            <w:r>
              <w:rPr>
                <w:rFonts w:ascii="宋体" w:hAnsi="宋体" w:cs="微软雅黑"/>
                <w:szCs w:val="21"/>
              </w:rPr>
              <w:t>劳动专题教育</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微软雅黑"/>
                <w:szCs w:val="21"/>
              </w:rPr>
              <w:t>通过劳动精神专题教育、劳模精神专题教育以及工匠精神专题教育等，使学生能够理解和形成马克思主义劳动观，牢固树立劳动最光荣、劳动最崇高、劳动最伟大、劳动最美丽的观念，促使学生养成良好的劳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16</w:t>
            </w:r>
          </w:p>
        </w:tc>
        <w:tc>
          <w:tcPr>
            <w:tcW w:w="1280" w:type="dxa"/>
            <w:vAlign w:val="center"/>
          </w:tcPr>
          <w:p>
            <w:pPr>
              <w:spacing w:line="360" w:lineRule="auto"/>
              <w:jc w:val="center"/>
              <w:rPr>
                <w:rFonts w:ascii="宋体" w:hAnsi="宋体" w:cs="微软雅黑"/>
                <w:szCs w:val="21"/>
              </w:rPr>
            </w:pPr>
            <w:r>
              <w:rPr>
                <w:rFonts w:hint="eastAsia" w:ascii="宋体" w:hAnsi="宋体" w:cs="微软雅黑"/>
                <w:szCs w:val="21"/>
              </w:rPr>
              <w:t>劳动</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微软雅黑"/>
                <w:szCs w:val="21"/>
              </w:rPr>
              <w:t>本课程将劳动分为校内劳动实践和校外劳动实践两个部分。其中校内劳动实践包括：实训室、课室、卫生间、楼道、周边草坪及指定区域的清洁；校外劳动实践包括：寒暑假社会实践、志愿者活动及其他有益于身心发展的劳动实践。学生通过劳动实践，体会劳动创造美好生活，认可劳动不分贵贱，培养勤俭、奋斗、创新、奉献的劳动精神，形成良好的劳动习惯，具备满足生存发展需要的基本劳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17</w:t>
            </w:r>
          </w:p>
        </w:tc>
        <w:tc>
          <w:tcPr>
            <w:tcW w:w="1280" w:type="dxa"/>
            <w:vAlign w:val="center"/>
          </w:tcPr>
          <w:p>
            <w:pPr>
              <w:spacing w:line="360" w:lineRule="auto"/>
              <w:jc w:val="center"/>
              <w:rPr>
                <w:b/>
                <w:bCs/>
                <w:color w:val="FF0000"/>
                <w:kern w:val="0"/>
                <w:szCs w:val="21"/>
              </w:rPr>
            </w:pPr>
            <w:r>
              <w:rPr>
                <w:rFonts w:hint="eastAsia" w:ascii="宋体" w:hAnsi="宋体" w:cs="微软雅黑"/>
                <w:szCs w:val="21"/>
              </w:rPr>
              <w:t>习近平新时代中国特色社会主义思想概论</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lang w:bidi="ar"/>
              </w:rPr>
              <w:t>通过本课程的学习，学生能够全面、准确地理解习近平新时代中国特色社会主义思想创立的时代背景，掌握习近平新时代中国特色社会主义思想的科学理论体系，包括“五新”：一是新时代，二是新矛盾，三是新思想（理论主题、核心要义、核心内容），四是新征程，五是新建设（五位一体、党的建设），从而认识习近平新时代中国特色社会主义思想的历史地位和重大意义，增强学生对习近平新时代中国特色社会主义思想的政治认同、思想认同和情感认同，坚定走中国特色社会主义道路的决心和信心。</w:t>
            </w:r>
          </w:p>
        </w:tc>
      </w:tr>
    </w:tbl>
    <w:p>
      <w:pPr>
        <w:spacing w:line="360" w:lineRule="auto"/>
        <w:jc w:val="center"/>
        <w:rPr>
          <w:rFonts w:ascii="宋体" w:hAnsi="宋体" w:cs="微软雅黑"/>
          <w:szCs w:val="21"/>
        </w:rPr>
      </w:pPr>
    </w:p>
    <w:p>
      <w:pPr>
        <w:adjustRightInd w:val="0"/>
        <w:spacing w:line="360" w:lineRule="auto"/>
        <w:ind w:firstLine="480" w:firstLineChars="200"/>
        <w:outlineLvl w:val="2"/>
        <w:rPr>
          <w:rFonts w:ascii="黑体" w:hAnsi="黑体" w:eastAsia="黑体"/>
          <w:sz w:val="24"/>
        </w:rPr>
      </w:pPr>
      <w:r>
        <w:rPr>
          <w:rFonts w:hint="eastAsia" w:ascii="黑体" w:hAnsi="黑体" w:eastAsia="黑体"/>
          <w:sz w:val="24"/>
        </w:rPr>
        <w:t>（三）专业（技能）课程</w:t>
      </w:r>
    </w:p>
    <w:p>
      <w:pPr>
        <w:spacing w:line="360" w:lineRule="auto"/>
        <w:ind w:firstLine="422" w:firstLineChars="200"/>
        <w:rPr>
          <w:rFonts w:ascii="宋体" w:hAnsi="宋体" w:cs="微软雅黑"/>
          <w:b/>
          <w:bCs/>
          <w:szCs w:val="21"/>
        </w:rPr>
      </w:pPr>
      <w:r>
        <w:rPr>
          <w:rFonts w:hint="eastAsia" w:ascii="宋体" w:hAnsi="宋体" w:cs="微软雅黑"/>
          <w:b/>
          <w:bCs/>
          <w:szCs w:val="21"/>
        </w:rPr>
        <w:t>1.专业核心课程</w:t>
      </w:r>
    </w:p>
    <w:p>
      <w:pPr>
        <w:spacing w:line="360" w:lineRule="auto"/>
        <w:ind w:firstLine="420" w:firstLineChars="200"/>
        <w:rPr>
          <w:rFonts w:ascii="宋体" w:hAnsi="宋体" w:cs="微软雅黑"/>
          <w:szCs w:val="21"/>
        </w:rPr>
      </w:pPr>
      <w:r>
        <w:rPr>
          <w:rFonts w:hint="eastAsia" w:ascii="宋体" w:hAnsi="宋体" w:cs="微软雅黑"/>
          <w:szCs w:val="21"/>
        </w:rPr>
        <w:t>烹饪工艺与营养专业核心课程教学内容及要求如表三所示。</w:t>
      </w:r>
    </w:p>
    <w:p>
      <w:pPr>
        <w:spacing w:line="360" w:lineRule="auto"/>
        <w:jc w:val="center"/>
        <w:rPr>
          <w:rFonts w:ascii="宋体" w:hAnsi="宋体" w:cs="微软雅黑"/>
          <w:szCs w:val="21"/>
        </w:rPr>
      </w:pPr>
      <w:r>
        <w:rPr>
          <w:rFonts w:hint="eastAsia" w:ascii="宋体" w:hAnsi="宋体" w:cs="微软雅黑"/>
          <w:szCs w:val="21"/>
        </w:rPr>
        <w:t>表三</w:t>
      </w:r>
      <w:r>
        <w:rPr>
          <w:rFonts w:ascii="宋体" w:hAnsi="宋体" w:cs="微软雅黑"/>
          <w:szCs w:val="21"/>
        </w:rPr>
        <w:t xml:space="preserve"> </w:t>
      </w:r>
      <w:r>
        <w:rPr>
          <w:rFonts w:hint="eastAsia" w:ascii="宋体" w:hAnsi="宋体" w:cs="微软雅黑"/>
          <w:szCs w:val="21"/>
        </w:rPr>
        <w:t>烹饪工艺与营养专业核心课程教学内容及要求</w:t>
      </w:r>
    </w:p>
    <w:tbl>
      <w:tblPr>
        <w:tblStyle w:val="15"/>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01" w:type="dxa"/>
            <w:vAlign w:val="center"/>
          </w:tcPr>
          <w:p>
            <w:pPr>
              <w:jc w:val="center"/>
              <w:rPr>
                <w:rFonts w:ascii="宋体" w:hAnsi="宋体" w:cs="微软雅黑"/>
                <w:szCs w:val="21"/>
              </w:rPr>
            </w:pPr>
            <w:r>
              <w:rPr>
                <w:rFonts w:hint="eastAsia" w:ascii="宋体" w:hAnsi="宋体" w:cs="微软雅黑"/>
                <w:szCs w:val="21"/>
              </w:rPr>
              <w:t>序号</w:t>
            </w:r>
          </w:p>
        </w:tc>
        <w:tc>
          <w:tcPr>
            <w:tcW w:w="1280" w:type="dxa"/>
            <w:vAlign w:val="center"/>
          </w:tcPr>
          <w:p>
            <w:pPr>
              <w:jc w:val="center"/>
              <w:rPr>
                <w:rFonts w:ascii="宋体" w:hAnsi="宋体" w:cs="微软雅黑"/>
                <w:szCs w:val="21"/>
              </w:rPr>
            </w:pPr>
            <w:r>
              <w:rPr>
                <w:rFonts w:hint="eastAsia" w:ascii="宋体" w:hAnsi="宋体" w:cs="微软雅黑"/>
                <w:szCs w:val="21"/>
              </w:rPr>
              <w:t>课程名称</w:t>
            </w:r>
          </w:p>
        </w:tc>
        <w:tc>
          <w:tcPr>
            <w:tcW w:w="6853" w:type="dxa"/>
            <w:vAlign w:val="center"/>
          </w:tcPr>
          <w:p>
            <w:pPr>
              <w:jc w:val="center"/>
              <w:rPr>
                <w:rFonts w:ascii="宋体" w:hAnsi="宋体" w:cs="微软雅黑"/>
                <w:szCs w:val="21"/>
              </w:rPr>
            </w:pPr>
            <w:r>
              <w:rPr>
                <w:rFonts w:hint="eastAsia" w:ascii="宋体" w:hAnsi="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1</w:t>
            </w:r>
          </w:p>
        </w:tc>
        <w:tc>
          <w:tcPr>
            <w:tcW w:w="1280" w:type="dxa"/>
            <w:vAlign w:val="center"/>
          </w:tcPr>
          <w:p>
            <w:pPr>
              <w:jc w:val="center"/>
              <w:rPr>
                <w:rFonts w:ascii="宋体" w:hAnsi="宋体" w:cs="微软雅黑"/>
                <w:szCs w:val="21"/>
              </w:rPr>
            </w:pPr>
            <w:r>
              <w:rPr>
                <w:rFonts w:hint="eastAsia" w:ascii="宋体" w:hAnsi="宋体" w:cs="微软雅黑"/>
                <w:szCs w:val="21"/>
              </w:rPr>
              <w:t>烹饪原料学</w:t>
            </w:r>
          </w:p>
        </w:tc>
        <w:tc>
          <w:tcPr>
            <w:tcW w:w="6853" w:type="dxa"/>
            <w:vAlign w:val="center"/>
          </w:tcPr>
          <w:p>
            <w:pPr>
              <w:ind w:firstLine="420" w:firstLineChars="200"/>
              <w:jc w:val="left"/>
              <w:rPr>
                <w:rFonts w:ascii="宋体" w:hAnsi="宋体" w:cs="微软雅黑"/>
                <w:szCs w:val="21"/>
              </w:rPr>
            </w:pPr>
            <w:r>
              <w:rPr>
                <w:rFonts w:hint="eastAsia" w:ascii="宋体" w:hAnsi="宋体" w:cs="微软雅黑"/>
                <w:szCs w:val="21"/>
              </w:rPr>
              <w:t>本课程紧紧围绕高星级酒店高技能人才应该具备的实践能力和职业技能，对烹饪原料的全面了解和系统学习，培养学生科学思维方式和综合运用知识能力，通过学习，使学生提高识别、选购原料和根据原料特点进行实践操作基本能力，为后期整个烹调技术的学习和掌握有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2</w:t>
            </w:r>
          </w:p>
        </w:tc>
        <w:tc>
          <w:tcPr>
            <w:tcW w:w="1280" w:type="dxa"/>
            <w:vAlign w:val="center"/>
          </w:tcPr>
          <w:p>
            <w:pPr>
              <w:jc w:val="center"/>
              <w:rPr>
                <w:rFonts w:ascii="宋体" w:hAnsi="宋体" w:cs="微软雅黑"/>
                <w:szCs w:val="21"/>
              </w:rPr>
            </w:pPr>
            <w:r>
              <w:rPr>
                <w:rFonts w:hint="eastAsia" w:ascii="宋体" w:hAnsi="宋体" w:cs="微软雅黑"/>
                <w:szCs w:val="21"/>
              </w:rPr>
              <w:t>烹饪营养学</w:t>
            </w:r>
          </w:p>
        </w:tc>
        <w:tc>
          <w:tcPr>
            <w:tcW w:w="6853" w:type="dxa"/>
            <w:vAlign w:val="center"/>
          </w:tcPr>
          <w:p>
            <w:pPr>
              <w:ind w:firstLine="420" w:firstLineChars="200"/>
              <w:jc w:val="left"/>
              <w:rPr>
                <w:rFonts w:ascii="宋体" w:hAnsi="宋体" w:cs="微软雅黑"/>
                <w:szCs w:val="21"/>
              </w:rPr>
            </w:pPr>
            <w:r>
              <w:rPr>
                <w:rFonts w:hint="eastAsia" w:ascii="宋体" w:hAnsi="宋体" w:cs="宋体"/>
                <w:kern w:val="0"/>
                <w:szCs w:val="21"/>
                <w:lang w:bidi="ar"/>
              </w:rPr>
              <w:t>本课程主要培养学生正确处理烹饪和餐饮中的食品营养问题，强调认知的过程从方法和原理方面来学习，掌握营养学的基础知识和原理，合理烹调、平衡膳食的知识和技能，了解营养科学在餐饮业中应用的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3</w:t>
            </w:r>
          </w:p>
        </w:tc>
        <w:tc>
          <w:tcPr>
            <w:tcW w:w="1280" w:type="dxa"/>
            <w:vAlign w:val="center"/>
          </w:tcPr>
          <w:p>
            <w:pPr>
              <w:tabs>
                <w:tab w:val="left" w:pos="276"/>
              </w:tabs>
              <w:jc w:val="left"/>
              <w:rPr>
                <w:rFonts w:ascii="宋体" w:hAnsi="宋体" w:cs="微软雅黑"/>
                <w:szCs w:val="21"/>
              </w:rPr>
            </w:pPr>
            <w:r>
              <w:rPr>
                <w:rFonts w:hint="eastAsia" w:ascii="宋体" w:hAnsi="宋体" w:cs="微软雅黑"/>
                <w:szCs w:val="21"/>
              </w:rPr>
              <w:t>中医饮食保健学</w:t>
            </w:r>
          </w:p>
        </w:tc>
        <w:tc>
          <w:tcPr>
            <w:tcW w:w="6853" w:type="dxa"/>
            <w:vAlign w:val="center"/>
          </w:tcPr>
          <w:p>
            <w:pPr>
              <w:ind w:firstLine="420" w:firstLineChars="200"/>
              <w:jc w:val="left"/>
              <w:rPr>
                <w:rFonts w:ascii="宋体" w:hAnsi="宋体" w:cs="微软雅黑"/>
                <w:szCs w:val="21"/>
              </w:rPr>
            </w:pPr>
            <w:r>
              <w:rPr>
                <w:rFonts w:hint="eastAsia" w:ascii="宋体" w:hAnsi="宋体" w:cs="微软雅黑"/>
                <w:szCs w:val="21"/>
              </w:rPr>
              <w:t>本课程对中医饮食保健学的全面了解和系统学习，培养学生科学思维方式和综合运用知识能力，通过对食物性能、食物的应用、各类保健食物及常用食疗药膳中药材、食养与食疗的基本法则、正常人的饮食养生及常见病的饮食治疗等知识的学习，有助于学生获得广泛的烹饪相关理论方面的知识，辩证地认识到中医饮食保健学在学习中的指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4</w:t>
            </w:r>
          </w:p>
        </w:tc>
        <w:tc>
          <w:tcPr>
            <w:tcW w:w="1280" w:type="dxa"/>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烹调工艺学</w:t>
            </w:r>
          </w:p>
        </w:tc>
        <w:tc>
          <w:tcPr>
            <w:tcW w:w="6853" w:type="dxa"/>
            <w:vAlign w:val="center"/>
          </w:tcPr>
          <w:p>
            <w:pPr>
              <w:widowControl/>
              <w:ind w:firstLine="420" w:firstLineChars="200"/>
              <w:jc w:val="left"/>
              <w:rPr>
                <w:rFonts w:ascii="宋体" w:hAnsi="宋体" w:cs="宋体"/>
                <w:kern w:val="0"/>
                <w:szCs w:val="21"/>
                <w:lang w:bidi="ar"/>
              </w:rPr>
            </w:pPr>
            <w:r>
              <w:rPr>
                <w:rFonts w:hint="eastAsia" w:ascii="宋体" w:hAnsi="宋体" w:cs="宋体"/>
                <w:kern w:val="0"/>
                <w:szCs w:val="21"/>
                <w:lang w:bidi="ar"/>
              </w:rPr>
              <w:t>本课程是烹饪专业最重要的课程之一，通过本课程的理论学习与实践技能培养，使学生了解和掌握菜肴制作的工艺流程及其相应的工艺方法和手段，对烹饪原料选择与加工工艺、调配工艺、制熟工艺的基本原理有全面的认识和熟练地掌握各种烹调方法。培养学生分析问题、解决问题的能力，为从事烹饪美食的生产、研究及创新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5</w:t>
            </w:r>
          </w:p>
        </w:tc>
        <w:tc>
          <w:tcPr>
            <w:tcW w:w="1280" w:type="dxa"/>
            <w:vAlign w:val="center"/>
          </w:tcPr>
          <w:p>
            <w:pPr>
              <w:widowControl/>
              <w:textAlignment w:val="top"/>
              <w:rPr>
                <w:rFonts w:ascii="宋体" w:hAnsi="宋体" w:cs="微软雅黑"/>
                <w:szCs w:val="21"/>
              </w:rPr>
            </w:pPr>
            <w:r>
              <w:rPr>
                <w:rFonts w:hint="eastAsia" w:ascii="宋体" w:hAnsi="宋体" w:cs="宋体"/>
                <w:kern w:val="0"/>
                <w:szCs w:val="21"/>
                <w:lang w:bidi="ar"/>
              </w:rPr>
              <w:t>高凉菜基本功训练</w:t>
            </w:r>
          </w:p>
        </w:tc>
        <w:tc>
          <w:tcPr>
            <w:tcW w:w="6853" w:type="dxa"/>
            <w:vAlign w:val="center"/>
          </w:tcPr>
          <w:p>
            <w:pPr>
              <w:ind w:firstLine="420" w:firstLineChars="200"/>
              <w:jc w:val="left"/>
              <w:rPr>
                <w:rFonts w:ascii="宋体" w:hAnsi="宋体" w:cs="微软雅黑"/>
                <w:szCs w:val="21"/>
              </w:rPr>
            </w:pPr>
            <w:r>
              <w:rPr>
                <w:rFonts w:hint="eastAsia" w:ascii="宋体" w:hAnsi="宋体" w:cs="宋体"/>
                <w:kern w:val="0"/>
                <w:szCs w:val="21"/>
                <w:lang w:bidi="ar"/>
              </w:rPr>
              <w:t>本课程主要任务是讲授烹饪专业所必需的专业基础知识，使学生在掌握专业基础理论知识的基础上进行技能操作；培养运用烹调基础知识，解决烹调过程中实际问题的能力，为学生继续深造和适应职业转换奠定必要的知识和能力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6</w:t>
            </w:r>
          </w:p>
        </w:tc>
        <w:tc>
          <w:tcPr>
            <w:tcW w:w="1280" w:type="dxa"/>
            <w:vAlign w:val="center"/>
          </w:tcPr>
          <w:p>
            <w:pPr>
              <w:widowControl/>
              <w:textAlignment w:val="center"/>
              <w:rPr>
                <w:rFonts w:ascii="宋体" w:hAnsi="宋体" w:cs="微软雅黑"/>
                <w:szCs w:val="21"/>
              </w:rPr>
            </w:pPr>
            <w:r>
              <w:rPr>
                <w:rFonts w:hint="eastAsia" w:ascii="宋体" w:hAnsi="宋体" w:cs="宋体"/>
                <w:kern w:val="0"/>
                <w:szCs w:val="21"/>
                <w:lang w:bidi="ar"/>
              </w:rPr>
              <w:t>高凉菜制作</w:t>
            </w:r>
          </w:p>
        </w:tc>
        <w:tc>
          <w:tcPr>
            <w:tcW w:w="6853" w:type="dxa"/>
            <w:vAlign w:val="center"/>
          </w:tcPr>
          <w:p>
            <w:pPr>
              <w:ind w:firstLine="420" w:firstLineChars="200"/>
              <w:jc w:val="left"/>
              <w:rPr>
                <w:rFonts w:ascii="宋体" w:hAnsi="宋体" w:cs="微软雅黑"/>
                <w:szCs w:val="21"/>
              </w:rPr>
            </w:pPr>
            <w:r>
              <w:rPr>
                <w:rFonts w:hint="eastAsia" w:ascii="宋体" w:hAnsi="宋体" w:cs="微软雅黑"/>
                <w:szCs w:val="21"/>
              </w:rPr>
              <w:t>本课程是烹饪工艺与营养专业的实训核心课程，课程通过讲授有关热菜烹调理论知识，传统菜肴制作技艺和训练基本菜品的操作技能等，使学生熟练掌握刀工，火候，调味和常用热菜烹调技法，为学生继续提高职业技能和适应职业转化奠定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7</w:t>
            </w:r>
          </w:p>
        </w:tc>
        <w:tc>
          <w:tcPr>
            <w:tcW w:w="1280" w:type="dxa"/>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宴席设计实务</w:t>
            </w:r>
          </w:p>
        </w:tc>
        <w:tc>
          <w:tcPr>
            <w:tcW w:w="6853" w:type="dxa"/>
            <w:vAlign w:val="center"/>
          </w:tcPr>
          <w:p>
            <w:pPr>
              <w:ind w:firstLine="420" w:firstLineChars="200"/>
              <w:jc w:val="left"/>
              <w:rPr>
                <w:rFonts w:ascii="宋体" w:hAnsi="宋体" w:cs="微软雅黑"/>
                <w:szCs w:val="21"/>
              </w:rPr>
            </w:pPr>
            <w:r>
              <w:rPr>
                <w:rFonts w:hint="eastAsia" w:ascii="宋体" w:hAnsi="宋体" w:cs="微软雅黑"/>
                <w:szCs w:val="21"/>
              </w:rPr>
              <w:t>本课程紧紧围绕餐饮与酒店行业人才应该具备的实践能力和职业技能，对宴席设计进行系统学习，培养学生的创新策划能力和管理运行能力。通过学习，使学生掌握装饰宴会环境，布置宴会餐台，创作宴会菜单等相关知识，提高学生的专业技能和服务技能。</w:t>
            </w:r>
          </w:p>
        </w:tc>
      </w:tr>
    </w:tbl>
    <w:p>
      <w:pPr>
        <w:spacing w:line="360" w:lineRule="auto"/>
        <w:ind w:firstLine="422" w:firstLineChars="200"/>
        <w:rPr>
          <w:rFonts w:ascii="宋体" w:hAnsi="宋体" w:cs="微软雅黑"/>
          <w:b/>
          <w:bCs/>
          <w:szCs w:val="21"/>
        </w:rPr>
      </w:pPr>
    </w:p>
    <w:p>
      <w:pPr>
        <w:spacing w:line="360" w:lineRule="auto"/>
        <w:ind w:firstLine="422" w:firstLineChars="200"/>
        <w:rPr>
          <w:rFonts w:ascii="宋体" w:hAnsi="宋体" w:cs="微软雅黑"/>
          <w:b/>
          <w:bCs/>
          <w:szCs w:val="21"/>
        </w:rPr>
      </w:pPr>
      <w:r>
        <w:rPr>
          <w:rFonts w:hint="eastAsia" w:ascii="宋体" w:hAnsi="宋体" w:cs="微软雅黑"/>
          <w:b/>
          <w:bCs/>
          <w:szCs w:val="21"/>
        </w:rPr>
        <w:t>2.其它专业课</w:t>
      </w:r>
    </w:p>
    <w:p>
      <w:pPr>
        <w:spacing w:line="360" w:lineRule="auto"/>
        <w:ind w:firstLine="420" w:firstLineChars="200"/>
        <w:rPr>
          <w:rFonts w:ascii="宋体" w:hAnsi="宋体" w:cs="微软雅黑"/>
          <w:szCs w:val="21"/>
        </w:rPr>
      </w:pPr>
      <w:r>
        <w:rPr>
          <w:rFonts w:hint="eastAsia" w:ascii="宋体" w:hAnsi="宋体" w:cs="微软雅黑"/>
          <w:szCs w:val="21"/>
        </w:rPr>
        <w:t>烹饪工艺与营养专业其它专业课程教学内容及要求如表四所示。</w:t>
      </w:r>
    </w:p>
    <w:p>
      <w:pPr>
        <w:spacing w:line="360" w:lineRule="auto"/>
        <w:jc w:val="center"/>
        <w:rPr>
          <w:rFonts w:ascii="宋体" w:hAnsi="宋体" w:cs="微软雅黑"/>
          <w:szCs w:val="21"/>
        </w:rPr>
      </w:pPr>
      <w:r>
        <w:rPr>
          <w:rFonts w:hint="eastAsia" w:ascii="宋体" w:hAnsi="宋体" w:cs="微软雅黑"/>
          <w:szCs w:val="21"/>
        </w:rPr>
        <w:t>表四</w:t>
      </w:r>
      <w:r>
        <w:rPr>
          <w:rFonts w:ascii="宋体" w:hAnsi="宋体" w:cs="微软雅黑"/>
          <w:szCs w:val="21"/>
        </w:rPr>
        <w:t xml:space="preserve"> </w:t>
      </w:r>
      <w:r>
        <w:rPr>
          <w:rFonts w:hint="eastAsia" w:ascii="宋体" w:hAnsi="宋体" w:cs="微软雅黑"/>
          <w:szCs w:val="21"/>
        </w:rPr>
        <w:t>烹饪工艺与营养专业其它专业课程教学内容及要求</w:t>
      </w:r>
    </w:p>
    <w:tbl>
      <w:tblPr>
        <w:tblStyle w:val="15"/>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01" w:type="dxa"/>
            <w:vAlign w:val="center"/>
          </w:tcPr>
          <w:p>
            <w:pPr>
              <w:jc w:val="center"/>
              <w:rPr>
                <w:rFonts w:ascii="宋体" w:hAnsi="宋体" w:cs="微软雅黑"/>
                <w:szCs w:val="21"/>
              </w:rPr>
            </w:pPr>
            <w:r>
              <w:rPr>
                <w:rFonts w:hint="eastAsia" w:ascii="宋体" w:hAnsi="宋体" w:cs="微软雅黑"/>
                <w:szCs w:val="21"/>
              </w:rPr>
              <w:t>序号</w:t>
            </w:r>
          </w:p>
        </w:tc>
        <w:tc>
          <w:tcPr>
            <w:tcW w:w="1280" w:type="dxa"/>
            <w:vAlign w:val="center"/>
          </w:tcPr>
          <w:p>
            <w:pPr>
              <w:jc w:val="center"/>
              <w:rPr>
                <w:rFonts w:ascii="宋体" w:hAnsi="宋体" w:cs="微软雅黑"/>
                <w:szCs w:val="21"/>
              </w:rPr>
            </w:pPr>
            <w:r>
              <w:rPr>
                <w:rFonts w:hint="eastAsia" w:ascii="宋体" w:hAnsi="宋体" w:cs="微软雅黑"/>
                <w:szCs w:val="21"/>
              </w:rPr>
              <w:t>课程名称</w:t>
            </w:r>
          </w:p>
        </w:tc>
        <w:tc>
          <w:tcPr>
            <w:tcW w:w="6838" w:type="dxa"/>
            <w:vAlign w:val="center"/>
          </w:tcPr>
          <w:p>
            <w:pPr>
              <w:jc w:val="center"/>
              <w:rPr>
                <w:rFonts w:ascii="宋体" w:hAnsi="宋体" w:cs="微软雅黑"/>
                <w:szCs w:val="21"/>
              </w:rPr>
            </w:pPr>
            <w:r>
              <w:rPr>
                <w:rFonts w:hint="eastAsia" w:ascii="宋体" w:hAnsi="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1</w:t>
            </w:r>
          </w:p>
        </w:tc>
        <w:tc>
          <w:tcPr>
            <w:tcW w:w="1280" w:type="dxa"/>
            <w:vAlign w:val="center"/>
          </w:tcPr>
          <w:p>
            <w:pPr>
              <w:widowControl/>
              <w:textAlignment w:val="top"/>
              <w:rPr>
                <w:rFonts w:ascii="宋体" w:hAnsi="宋体" w:cs="微软雅黑"/>
                <w:szCs w:val="21"/>
              </w:rPr>
            </w:pPr>
            <w:r>
              <w:rPr>
                <w:rFonts w:hint="eastAsia" w:ascii="宋体" w:hAnsi="宋体" w:cs="宋体"/>
                <w:kern w:val="0"/>
                <w:szCs w:val="21"/>
                <w:lang w:bidi="ar"/>
              </w:rPr>
              <w:t>中国烹饪概论</w:t>
            </w:r>
          </w:p>
        </w:tc>
        <w:tc>
          <w:tcPr>
            <w:tcW w:w="6838" w:type="dxa"/>
            <w:vAlign w:val="center"/>
          </w:tcPr>
          <w:p>
            <w:pPr>
              <w:ind w:firstLine="420" w:firstLineChars="200"/>
              <w:jc w:val="left"/>
              <w:rPr>
                <w:rFonts w:ascii="宋体" w:hAnsi="宋体" w:cs="微软雅黑"/>
                <w:szCs w:val="21"/>
              </w:rPr>
            </w:pPr>
            <w:r>
              <w:rPr>
                <w:rFonts w:hint="eastAsia" w:ascii="宋体" w:hAnsi="宋体" w:cs="微软雅黑"/>
                <w:szCs w:val="21"/>
              </w:rPr>
              <w:t>本课程通过对烹饪的发展史、烹饪饮食文化、烹饪工艺和烹饪当代的饮食市场等知识进行系统的学习，培养学生了解中国烹饪文学为主线，要求学生通过对中国烹饪史、烹饪饮食文化、烹饪工艺、烹饪艺术成果等方面的了解，掌握烹饪理论研究的视角，提高烹饪理论知识的学习，有利于今后在理论研究和操作技能上的发展和提高，以便适应中国和世界餐饮潮流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2</w:t>
            </w:r>
          </w:p>
        </w:tc>
        <w:tc>
          <w:tcPr>
            <w:tcW w:w="1280" w:type="dxa"/>
            <w:vAlign w:val="center"/>
          </w:tcPr>
          <w:p>
            <w:pPr>
              <w:widowControl/>
              <w:textAlignment w:val="top"/>
              <w:rPr>
                <w:rFonts w:ascii="宋体" w:hAnsi="宋体" w:cs="微软雅黑"/>
                <w:szCs w:val="21"/>
              </w:rPr>
            </w:pPr>
            <w:r>
              <w:rPr>
                <w:rFonts w:hint="eastAsia" w:ascii="宋体" w:hAnsi="宋体" w:cs="宋体"/>
                <w:kern w:val="0"/>
                <w:szCs w:val="21"/>
                <w:lang w:bidi="ar"/>
              </w:rPr>
              <w:t>食品营养与卫生</w:t>
            </w:r>
          </w:p>
        </w:tc>
        <w:tc>
          <w:tcPr>
            <w:tcW w:w="6838" w:type="dxa"/>
            <w:vAlign w:val="center"/>
          </w:tcPr>
          <w:p>
            <w:pPr>
              <w:ind w:firstLine="420" w:firstLineChars="200"/>
              <w:jc w:val="left"/>
              <w:rPr>
                <w:rFonts w:ascii="宋体" w:hAnsi="宋体" w:cs="微软雅黑"/>
                <w:szCs w:val="21"/>
              </w:rPr>
            </w:pPr>
            <w:r>
              <w:rPr>
                <w:rFonts w:hint="eastAsia" w:ascii="宋体" w:hAnsi="宋体" w:cs="宋体"/>
                <w:kern w:val="0"/>
                <w:szCs w:val="21"/>
                <w:lang w:bidi="ar"/>
              </w:rPr>
              <w:t>食品营养与卫生需要以烹饪化学、烹饪原料学、烹饪营养学、食品微生物学的基础知识为指导，要求学生了解卫生与人体健康及烹饪的关系，掌握以上课程的基础知识并具有较熟练的操作能力，掌握食源性疾病、食品腐败变质、烹饪原料卫生、烹饪加工工艺卫生及卫生管理等方面的基本理论及实际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3</w:t>
            </w:r>
          </w:p>
        </w:tc>
        <w:tc>
          <w:tcPr>
            <w:tcW w:w="1280" w:type="dxa"/>
            <w:vAlign w:val="center"/>
          </w:tcPr>
          <w:p>
            <w:pPr>
              <w:widowControl/>
              <w:textAlignment w:val="top"/>
              <w:rPr>
                <w:rFonts w:ascii="宋体" w:hAnsi="宋体" w:cs="微软雅黑"/>
                <w:szCs w:val="21"/>
              </w:rPr>
            </w:pPr>
            <w:r>
              <w:rPr>
                <w:rFonts w:hint="eastAsia" w:ascii="宋体" w:hAnsi="宋体" w:cs="宋体"/>
                <w:kern w:val="0"/>
                <w:szCs w:val="21"/>
                <w:lang w:bidi="ar"/>
              </w:rPr>
              <w:t>创新菜品设计与制作</w:t>
            </w:r>
          </w:p>
        </w:tc>
        <w:tc>
          <w:tcPr>
            <w:tcW w:w="6838" w:type="dxa"/>
            <w:vAlign w:val="center"/>
          </w:tcPr>
          <w:p>
            <w:pPr>
              <w:ind w:firstLine="420" w:firstLineChars="200"/>
              <w:jc w:val="left"/>
              <w:rPr>
                <w:rFonts w:ascii="宋体" w:hAnsi="宋体" w:cs="微软雅黑"/>
                <w:szCs w:val="21"/>
              </w:rPr>
            </w:pPr>
            <w:r>
              <w:rPr>
                <w:rFonts w:ascii="宋体" w:hAnsi="宋体" w:cs="宋体"/>
                <w:kern w:val="0"/>
                <w:szCs w:val="21"/>
                <w:lang w:bidi="ar"/>
              </w:rPr>
              <w:t>本课程内容突出对学生创新能力的训练，理论知识的选取紧紧围绕创新任务完成的需要来进行，同时又充分考虑了高等职业教育对理论知识学习的需要，并融合了相关职业资格证书对知识、技能和态度的要求。项目设计以掌握菜品创新的常用手段方法为线索来进行。</w:t>
            </w:r>
          </w:p>
        </w:tc>
      </w:tr>
    </w:tbl>
    <w:p>
      <w:pPr>
        <w:spacing w:line="360" w:lineRule="auto"/>
        <w:jc w:val="center"/>
        <w:rPr>
          <w:rFonts w:ascii="宋体" w:hAnsi="宋体" w:cs="微软雅黑"/>
          <w:szCs w:val="21"/>
        </w:rPr>
      </w:pPr>
    </w:p>
    <w:p>
      <w:pPr>
        <w:spacing w:line="360" w:lineRule="auto"/>
        <w:ind w:firstLine="422" w:firstLineChars="200"/>
        <w:rPr>
          <w:rFonts w:ascii="宋体" w:hAnsi="宋体" w:cs="微软雅黑"/>
          <w:b/>
          <w:bCs/>
          <w:szCs w:val="21"/>
        </w:rPr>
      </w:pPr>
      <w:r>
        <w:rPr>
          <w:rFonts w:hint="eastAsia" w:ascii="宋体" w:hAnsi="宋体" w:cs="微软雅黑"/>
          <w:b/>
          <w:bCs/>
          <w:szCs w:val="21"/>
        </w:rPr>
        <w:t>3.实训实习课程</w:t>
      </w:r>
    </w:p>
    <w:p>
      <w:pPr>
        <w:spacing w:line="360" w:lineRule="auto"/>
        <w:ind w:firstLine="420" w:firstLineChars="200"/>
        <w:rPr>
          <w:rFonts w:ascii="宋体" w:hAnsi="宋体" w:cs="微软雅黑"/>
          <w:szCs w:val="21"/>
        </w:rPr>
      </w:pPr>
      <w:r>
        <w:rPr>
          <w:rFonts w:hint="eastAsia" w:ascii="宋体" w:hAnsi="宋体" w:cs="微软雅黑"/>
          <w:szCs w:val="21"/>
        </w:rPr>
        <w:t>烹饪工艺与营养专业实训实习课程教学内容及要求如表五所示。</w:t>
      </w:r>
    </w:p>
    <w:p>
      <w:pPr>
        <w:spacing w:line="360" w:lineRule="auto"/>
        <w:jc w:val="center"/>
        <w:rPr>
          <w:rFonts w:ascii="宋体" w:hAnsi="宋体" w:cs="微软雅黑"/>
          <w:szCs w:val="21"/>
        </w:rPr>
      </w:pPr>
      <w:r>
        <w:rPr>
          <w:rFonts w:hint="eastAsia" w:ascii="宋体" w:hAnsi="宋体" w:cs="微软雅黑"/>
          <w:szCs w:val="21"/>
        </w:rPr>
        <w:t>表五</w:t>
      </w:r>
      <w:r>
        <w:rPr>
          <w:rFonts w:ascii="宋体" w:hAnsi="宋体" w:cs="微软雅黑"/>
          <w:szCs w:val="21"/>
        </w:rPr>
        <w:t xml:space="preserve"> </w:t>
      </w:r>
      <w:r>
        <w:rPr>
          <w:rFonts w:hint="eastAsia" w:ascii="宋体" w:hAnsi="宋体" w:cs="微软雅黑"/>
          <w:szCs w:val="21"/>
        </w:rPr>
        <w:t>烹饪工艺与营养专业实训实习课程教学内容及要求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403"/>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dxa"/>
          </w:tcPr>
          <w:p>
            <w:pPr>
              <w:jc w:val="center"/>
              <w:rPr>
                <w:rFonts w:ascii="宋体" w:hAnsi="宋体" w:cs="宋体"/>
                <w:szCs w:val="21"/>
              </w:rPr>
            </w:pPr>
            <w:r>
              <w:rPr>
                <w:rFonts w:hint="eastAsia" w:ascii="宋体" w:hAnsi="宋体" w:cs="宋体"/>
                <w:szCs w:val="21"/>
              </w:rPr>
              <w:t>序号</w:t>
            </w:r>
          </w:p>
        </w:tc>
        <w:tc>
          <w:tcPr>
            <w:tcW w:w="1403" w:type="dxa"/>
          </w:tcPr>
          <w:p>
            <w:pPr>
              <w:jc w:val="center"/>
              <w:rPr>
                <w:rFonts w:ascii="宋体" w:hAnsi="宋体" w:cs="宋体"/>
                <w:szCs w:val="21"/>
              </w:rPr>
            </w:pPr>
            <w:r>
              <w:rPr>
                <w:rFonts w:hint="eastAsia" w:ascii="宋体" w:hAnsi="宋体" w:cs="宋体"/>
                <w:szCs w:val="21"/>
              </w:rPr>
              <w:t>课程名称</w:t>
            </w:r>
          </w:p>
        </w:tc>
        <w:tc>
          <w:tcPr>
            <w:tcW w:w="6750" w:type="dxa"/>
          </w:tcPr>
          <w:p>
            <w:pPr>
              <w:jc w:val="center"/>
              <w:rPr>
                <w:rFonts w:ascii="宋体" w:hAnsi="宋体" w:cs="宋体"/>
                <w:szCs w:val="21"/>
              </w:rPr>
            </w:pPr>
            <w:r>
              <w:rPr>
                <w:rFonts w:hint="eastAsia" w:ascii="宋体" w:hAnsi="宋体" w:cs="宋体"/>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42" w:type="dxa"/>
            <w:vAlign w:val="center"/>
          </w:tcPr>
          <w:p>
            <w:pPr>
              <w:tabs>
                <w:tab w:val="left" w:pos="239"/>
              </w:tabs>
              <w:adjustRightInd w:val="0"/>
              <w:snapToGrid w:val="0"/>
              <w:jc w:val="center"/>
              <w:rPr>
                <w:rFonts w:ascii="宋体" w:hAnsi="宋体" w:cs="宋体"/>
              </w:rPr>
            </w:pPr>
            <w:r>
              <w:rPr>
                <w:rFonts w:hint="eastAsia" w:ascii="宋体" w:hAnsi="宋体" w:cs="宋体"/>
              </w:rPr>
              <w:t>1</w:t>
            </w:r>
          </w:p>
        </w:tc>
        <w:tc>
          <w:tcPr>
            <w:tcW w:w="1403" w:type="dxa"/>
            <w:vAlign w:val="center"/>
          </w:tcPr>
          <w:p>
            <w:pPr>
              <w:widowControl/>
              <w:jc w:val="center"/>
              <w:textAlignment w:val="center"/>
            </w:pPr>
            <w:r>
              <w:rPr>
                <w:rFonts w:hint="eastAsia" w:ascii="宋体" w:hAnsi="宋体" w:cs="宋体"/>
                <w:kern w:val="0"/>
                <w:szCs w:val="21"/>
                <w:lang w:bidi="ar"/>
              </w:rPr>
              <w:t>综合训练（高凉菜点制作、面点基本功实训、营养配餐实训、宴席设计实训）</w:t>
            </w:r>
          </w:p>
        </w:tc>
        <w:tc>
          <w:tcPr>
            <w:tcW w:w="6750" w:type="dxa"/>
            <w:vAlign w:val="center"/>
          </w:tcPr>
          <w:p>
            <w:pPr>
              <w:adjustRightInd w:val="0"/>
              <w:snapToGrid w:val="0"/>
              <w:ind w:firstLine="420" w:firstLineChars="200"/>
              <w:rPr>
                <w:rFonts w:ascii="宋体" w:hAnsi="宋体" w:cs="宋体"/>
              </w:rPr>
            </w:pPr>
            <w:r>
              <w:rPr>
                <w:rFonts w:hint="eastAsia" w:ascii="宋体" w:hAnsi="宋体" w:cs="宋体"/>
                <w:kern w:val="0"/>
                <w:szCs w:val="21"/>
                <w:lang w:bidi="ar"/>
              </w:rPr>
              <w:t>本课程主要任务是讲授烹饪专业所必需的专业知识，使学生在掌握专业基础理论知识的基础上进行技能操作；培养运用烹调综合知识，解决烹调过程中实际问题的能力，为学生继续深造和适应职业转换奠定必要的知识和能力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2</w:t>
            </w:r>
          </w:p>
        </w:tc>
        <w:tc>
          <w:tcPr>
            <w:tcW w:w="1403" w:type="dxa"/>
            <w:vAlign w:val="center"/>
          </w:tcPr>
          <w:p>
            <w:pPr>
              <w:widowControl/>
              <w:jc w:val="center"/>
              <w:textAlignment w:val="center"/>
              <w:rPr>
                <w:rFonts w:ascii="宋体" w:hAnsi="宋体" w:cs="宋体"/>
              </w:rPr>
            </w:pPr>
            <w:r>
              <w:rPr>
                <w:rFonts w:hint="eastAsia" w:ascii="宋体" w:hAnsi="宋体" w:cs="宋体"/>
                <w:kern w:val="0"/>
                <w:szCs w:val="21"/>
                <w:lang w:bidi="ar"/>
              </w:rPr>
              <w:t>果蔬雕刻</w:t>
            </w:r>
          </w:p>
        </w:tc>
        <w:tc>
          <w:tcPr>
            <w:tcW w:w="6750" w:type="dxa"/>
            <w:vAlign w:val="center"/>
          </w:tcPr>
          <w:p>
            <w:pPr>
              <w:adjustRightInd w:val="0"/>
              <w:snapToGrid w:val="0"/>
              <w:ind w:firstLine="420" w:firstLineChars="200"/>
              <w:rPr>
                <w:rFonts w:ascii="宋体" w:hAnsi="宋体" w:cs="宋体"/>
              </w:rPr>
            </w:pPr>
            <w:r>
              <w:rPr>
                <w:rFonts w:hint="eastAsia" w:ascii="宋体" w:hAnsi="宋体" w:cs="宋体"/>
                <w:kern w:val="0"/>
                <w:szCs w:val="21"/>
                <w:lang w:bidi="ar"/>
              </w:rPr>
              <w:t>本课程在开展中主要培养学生学习简单的雕刻、塑造的基本方法。培养细致、敏锐的观察能力和奇妙、独特的想像能力，发展创新意识和动手能力，大胆实践果蔬雕刻，体验雕刻乐趣，增强对自然和生活的热爱。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3</w:t>
            </w:r>
          </w:p>
        </w:tc>
        <w:tc>
          <w:tcPr>
            <w:tcW w:w="1403" w:type="dxa"/>
            <w:vAlign w:val="center"/>
          </w:tcPr>
          <w:p>
            <w:pPr>
              <w:adjustRightInd w:val="0"/>
              <w:snapToGrid w:val="0"/>
              <w:jc w:val="center"/>
              <w:rPr>
                <w:rFonts w:ascii="宋体" w:hAnsi="宋体" w:cs="宋体"/>
              </w:rPr>
            </w:pPr>
            <w:r>
              <w:rPr>
                <w:rFonts w:hint="eastAsia" w:ascii="宋体" w:hAnsi="宋体" w:cs="宋体"/>
              </w:rPr>
              <w:t>毕业设计（论文）</w:t>
            </w:r>
          </w:p>
        </w:tc>
        <w:tc>
          <w:tcPr>
            <w:tcW w:w="6750" w:type="dxa"/>
            <w:vAlign w:val="center"/>
          </w:tcPr>
          <w:p>
            <w:pPr>
              <w:adjustRightInd w:val="0"/>
              <w:snapToGrid w:val="0"/>
              <w:ind w:firstLine="420" w:firstLineChars="200"/>
              <w:rPr>
                <w:rFonts w:ascii="宋体" w:hAnsi="宋体" w:cs="宋体"/>
              </w:rPr>
            </w:pPr>
            <w:r>
              <w:rPr>
                <w:rFonts w:hint="eastAsia" w:ascii="宋体" w:hAnsi="宋体" w:cs="宋体"/>
              </w:rPr>
              <w:t>毕业设计（论文）是教学过程的一个重要教学环节，其目的在于训练学生综合运用所学的基本理论、基本知识和基本技能，分析和解决实际工作问题的能力，使学生具有从事生产和科学研究的初步能力。教学要求：根据课题的性质和要求，写出毕业设计（论文）计划书，学生应当独立完成全部任务；设计方案应合理，理论分析和计算正确；论文的要求要明确突出，论据要充分，分析及论述要条理清楚；要注意体现技术上的实用性和先进性，经济上的合理性以及计算机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4</w:t>
            </w:r>
          </w:p>
        </w:tc>
        <w:tc>
          <w:tcPr>
            <w:tcW w:w="1403" w:type="dxa"/>
            <w:vAlign w:val="center"/>
          </w:tcPr>
          <w:p>
            <w:pPr>
              <w:adjustRightInd w:val="0"/>
              <w:snapToGrid w:val="0"/>
              <w:jc w:val="center"/>
              <w:rPr>
                <w:rFonts w:ascii="宋体" w:hAnsi="宋体" w:cs="宋体"/>
              </w:rPr>
            </w:pPr>
            <w:r>
              <w:rPr>
                <w:rFonts w:hint="eastAsia" w:ascii="宋体" w:hAnsi="宋体" w:cs="宋体"/>
              </w:rPr>
              <w:t>顶岗实习</w:t>
            </w:r>
          </w:p>
        </w:tc>
        <w:tc>
          <w:tcPr>
            <w:tcW w:w="6750" w:type="dxa"/>
            <w:vAlign w:val="center"/>
          </w:tcPr>
          <w:p>
            <w:pPr>
              <w:adjustRightInd w:val="0"/>
              <w:snapToGrid w:val="0"/>
              <w:ind w:firstLine="420" w:firstLineChars="200"/>
              <w:rPr>
                <w:rFonts w:ascii="宋体" w:hAnsi="宋体" w:cs="宋体"/>
              </w:rPr>
            </w:pPr>
            <w:r>
              <w:rPr>
                <w:rFonts w:hint="eastAsia" w:ascii="宋体" w:hAnsi="宋体" w:cs="宋体"/>
              </w:rPr>
              <w:t>第六学期安排 6 个月的顶岗实习，学生从事烹饪工作，通过工作掌握有关厨房工作的具体工作任务，在实践教师的指导下，完成预定的学习任务，同时培养学生综合素质、动手能力，缩短学生走上工作岗位的适应期，提高就业竞争能力，是产学合作教育的重要教学环节。通过学生在企业的顶岗实习，将所学的专业知识进行实践性融合，使学生对烹饪技术更加熟练，为学生今后的就业做好铺垫。</w:t>
            </w:r>
          </w:p>
        </w:tc>
      </w:tr>
    </w:tbl>
    <w:p>
      <w:pPr>
        <w:spacing w:line="360" w:lineRule="auto"/>
        <w:rPr>
          <w:rFonts w:asciiTheme="minorEastAsia" w:hAnsiTheme="minorEastAsia" w:eastAsiaTheme="minorEastAsia"/>
          <w:szCs w:val="21"/>
        </w:rPr>
      </w:pPr>
    </w:p>
    <w:p>
      <w:pPr>
        <w:spacing w:line="360" w:lineRule="auto"/>
        <w:ind w:firstLine="560" w:firstLineChars="200"/>
        <w:outlineLvl w:val="1"/>
        <w:rPr>
          <w:rFonts w:eastAsia="黑体"/>
          <w:sz w:val="28"/>
          <w:szCs w:val="28"/>
        </w:rPr>
      </w:pPr>
      <w:r>
        <w:rPr>
          <w:rFonts w:hint="eastAsia" w:eastAsia="黑体"/>
          <w:sz w:val="28"/>
          <w:szCs w:val="28"/>
        </w:rPr>
        <w:t>七、教学进程总体安排</w:t>
      </w:r>
    </w:p>
    <w:p>
      <w:pPr>
        <w:spacing w:line="360" w:lineRule="auto"/>
        <w:ind w:firstLine="480" w:firstLineChars="200"/>
        <w:outlineLvl w:val="1"/>
        <w:rPr>
          <w:rFonts w:eastAsia="黑体"/>
          <w:sz w:val="28"/>
          <w:szCs w:val="28"/>
        </w:rPr>
      </w:pPr>
      <w:r>
        <w:rPr>
          <w:rFonts w:ascii="黑体" w:hAnsi="黑体" w:eastAsia="黑体"/>
          <w:sz w:val="24"/>
        </w:rPr>
        <w:t>（</w:t>
      </w:r>
      <w:r>
        <w:rPr>
          <w:rFonts w:hint="eastAsia" w:ascii="黑体" w:hAnsi="黑体" w:eastAsia="黑体"/>
          <w:sz w:val="24"/>
        </w:rPr>
        <w:t>一</w:t>
      </w:r>
      <w:r>
        <w:rPr>
          <w:rFonts w:ascii="黑体" w:hAnsi="黑体" w:eastAsia="黑体"/>
          <w:sz w:val="24"/>
        </w:rPr>
        <w:t>）</w:t>
      </w:r>
      <w:r>
        <w:rPr>
          <w:rFonts w:hint="eastAsia" w:ascii="黑体" w:hAnsi="黑体" w:eastAsia="黑体"/>
          <w:sz w:val="24"/>
        </w:rPr>
        <w:t>教学进程安排表</w:t>
      </w:r>
    </w:p>
    <w:p>
      <w:pPr>
        <w:spacing w:line="360" w:lineRule="auto"/>
        <w:ind w:firstLine="420" w:firstLineChars="200"/>
        <w:rPr>
          <w:rFonts w:ascii="宋体" w:hAnsi="宋体" w:cs="微软雅黑"/>
          <w:szCs w:val="21"/>
        </w:rPr>
      </w:pPr>
      <w:r>
        <w:rPr>
          <w:rFonts w:hint="eastAsia" w:ascii="宋体" w:hAnsi="宋体" w:cs="微软雅黑"/>
          <w:szCs w:val="21"/>
        </w:rPr>
        <w:t>教学进程安排表如表六所示。</w:t>
      </w:r>
    </w:p>
    <w:p>
      <w:pPr>
        <w:spacing w:line="360" w:lineRule="auto"/>
        <w:ind w:firstLine="420" w:firstLineChars="200"/>
        <w:jc w:val="center"/>
        <w:rPr>
          <w:rFonts w:ascii="宋体" w:hAnsi="宋体"/>
          <w:kern w:val="0"/>
          <w:szCs w:val="21"/>
        </w:rPr>
      </w:pPr>
      <w:r>
        <w:rPr>
          <w:rFonts w:ascii="宋体" w:hAnsi="宋体"/>
          <w:kern w:val="0"/>
          <w:szCs w:val="21"/>
        </w:rPr>
        <w:t>表</w:t>
      </w:r>
      <w:r>
        <w:rPr>
          <w:rFonts w:hint="eastAsia" w:ascii="宋体" w:hAnsi="宋体"/>
          <w:kern w:val="0"/>
          <w:szCs w:val="21"/>
        </w:rPr>
        <w:t>六</w:t>
      </w:r>
      <w:r>
        <w:rPr>
          <w:rFonts w:ascii="宋体" w:hAnsi="宋体"/>
          <w:kern w:val="0"/>
          <w:szCs w:val="21"/>
        </w:rPr>
        <w:t xml:space="preserve"> 教学</w:t>
      </w:r>
      <w:r>
        <w:rPr>
          <w:rFonts w:hint="eastAsia" w:ascii="宋体" w:hAnsi="宋体"/>
          <w:kern w:val="0"/>
          <w:szCs w:val="21"/>
        </w:rPr>
        <w:t>进程安排</w:t>
      </w:r>
      <w:r>
        <w:rPr>
          <w:rFonts w:ascii="宋体" w:hAnsi="宋体"/>
          <w:kern w:val="0"/>
          <w:szCs w:val="21"/>
        </w:rPr>
        <w:t>表</w:t>
      </w:r>
    </w:p>
    <w:tbl>
      <w:tblPr>
        <w:tblStyle w:val="1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470"/>
        <w:gridCol w:w="415"/>
        <w:gridCol w:w="965"/>
        <w:gridCol w:w="914"/>
        <w:gridCol w:w="614"/>
        <w:gridCol w:w="614"/>
        <w:gridCol w:w="733"/>
        <w:gridCol w:w="796"/>
        <w:gridCol w:w="614"/>
        <w:gridCol w:w="614"/>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309" w:type="dxa"/>
          </w:tcPr>
          <w:p>
            <w:pPr>
              <w:pStyle w:val="54"/>
              <w:rPr>
                <w:rFonts w:ascii="宋体" w:hAnsi="宋体" w:cs="宋体"/>
                <w:kern w:val="0"/>
                <w:szCs w:val="21"/>
              </w:rPr>
            </w:pPr>
            <w:r>
              <w:rPr>
                <w:rFonts w:ascii="宋体" w:hAnsi="宋体" w:cs="宋体"/>
                <w:kern w:val="0"/>
                <w:szCs w:val="21"/>
              </w:rPr>
              <w:pict>
                <v:shape id="直接连接符 6" o:spid="_x0000_s1028" o:spt="32" type="#_x0000_t32" style="position:absolute;left:0pt;margin-left:-4.9pt;margin-top:-0.65pt;height:38.95pt;width:62.65pt;z-index:251660288;mso-width-relative:page;mso-height-relative:page;" filled="f" coordsize="21600,21600">
                  <v:path arrowok="t"/>
                  <v:fill on="f" focussize="0,0"/>
                  <v:stroke weight="0.5pt"/>
                  <v:imagedata o:title=""/>
                  <o:lock v:ext="edit"/>
                </v:shape>
              </w:pict>
            </w:r>
            <w:r>
              <w:rPr>
                <w:rFonts w:ascii="宋体" w:hAnsi="宋体" w:cs="宋体"/>
                <w:kern w:val="0"/>
                <w:szCs w:val="21"/>
              </w:rPr>
              <w:pict>
                <v:shape id="直接箭头连接符 7" o:spid="_x0000_s1029" o:spt="32" type="#_x0000_t32" style="position:absolute;left:0pt;margin-left:-4.4pt;margin-top:0pt;height:120.95pt;width:44.8pt;z-index:251661312;mso-width-relative:page;mso-height-relative:page;" filled="f" coordsize="21600,21600">
                  <v:path arrowok="t"/>
                  <v:fill on="f" focussize="0,0"/>
                  <v:stroke weight="0.5pt"/>
                  <v:imagedata o:title=""/>
                  <o:lock v:ext="edit"/>
                </v:shape>
              </w:pict>
            </w:r>
            <w:r>
              <w:rPr>
                <w:rFonts w:hint="eastAsia" w:ascii="宋体" w:hAnsi="宋体" w:cs="宋体"/>
                <w:kern w:val="0"/>
                <w:szCs w:val="21"/>
              </w:rPr>
              <w:t xml:space="preserve">      内容</w:t>
            </w:r>
          </w:p>
          <w:p>
            <w:pPr>
              <w:pStyle w:val="54"/>
              <w:rPr>
                <w:rFonts w:ascii="宋体" w:hAnsi="宋体" w:cs="宋体"/>
                <w:kern w:val="0"/>
                <w:szCs w:val="21"/>
              </w:rPr>
            </w:pPr>
          </w:p>
          <w:p>
            <w:pPr>
              <w:pStyle w:val="54"/>
              <w:rPr>
                <w:rFonts w:ascii="宋体" w:hAnsi="宋体" w:cs="宋体"/>
                <w:kern w:val="0"/>
                <w:szCs w:val="21"/>
              </w:rPr>
            </w:pPr>
            <w:r>
              <w:rPr>
                <w:rFonts w:hint="eastAsia" w:ascii="宋体" w:hAnsi="宋体" w:cs="宋体"/>
                <w:kern w:val="0"/>
                <w:szCs w:val="21"/>
              </w:rPr>
              <w:t xml:space="preserve">      周</w:t>
            </w:r>
          </w:p>
          <w:p>
            <w:pPr>
              <w:pStyle w:val="54"/>
              <w:ind w:firstLine="630" w:firstLineChars="300"/>
              <w:rPr>
                <w:rFonts w:ascii="宋体" w:hAnsi="宋体" w:cs="宋体"/>
                <w:kern w:val="0"/>
                <w:szCs w:val="21"/>
              </w:rPr>
            </w:pPr>
            <w:r>
              <w:rPr>
                <w:rFonts w:hint="eastAsia" w:ascii="宋体" w:hAnsi="宋体" w:cs="宋体"/>
                <w:kern w:val="0"/>
                <w:szCs w:val="21"/>
              </w:rPr>
              <w:t>数</w:t>
            </w:r>
          </w:p>
          <w:p>
            <w:pPr>
              <w:pStyle w:val="54"/>
              <w:rPr>
                <w:rFonts w:ascii="宋体" w:hAnsi="宋体" w:cs="宋体"/>
                <w:kern w:val="0"/>
                <w:szCs w:val="21"/>
              </w:rPr>
            </w:pPr>
            <w:r>
              <w:rPr>
                <w:rFonts w:hint="eastAsia" w:ascii="宋体" w:hAnsi="宋体" w:cs="宋体"/>
                <w:kern w:val="0"/>
                <w:szCs w:val="21"/>
              </w:rPr>
              <w:t>学</w:t>
            </w:r>
          </w:p>
          <w:p>
            <w:pPr>
              <w:pStyle w:val="54"/>
              <w:rPr>
                <w:rFonts w:ascii="宋体" w:hAnsi="宋体" w:cs="宋体"/>
                <w:kern w:val="0"/>
                <w:szCs w:val="21"/>
              </w:rPr>
            </w:pPr>
            <w:r>
              <w:rPr>
                <w:rFonts w:hint="eastAsia" w:ascii="宋体" w:hAnsi="宋体" w:cs="宋体"/>
                <w:kern w:val="0"/>
                <w:szCs w:val="21"/>
              </w:rPr>
              <w:t>期</w:t>
            </w:r>
          </w:p>
        </w:tc>
        <w:tc>
          <w:tcPr>
            <w:tcW w:w="470"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教学</w:t>
            </w:r>
          </w:p>
        </w:tc>
        <w:tc>
          <w:tcPr>
            <w:tcW w:w="415"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考核</w:t>
            </w:r>
          </w:p>
        </w:tc>
        <w:tc>
          <w:tcPr>
            <w:tcW w:w="965" w:type="dxa"/>
            <w:vAlign w:val="center"/>
          </w:tcPr>
          <w:p>
            <w:pPr>
              <w:widowControl/>
              <w:spacing w:before="240"/>
              <w:jc w:val="center"/>
              <w:rPr>
                <w:rFonts w:ascii="宋体" w:hAnsi="宋体" w:cs="宋体"/>
                <w:kern w:val="0"/>
                <w:szCs w:val="21"/>
              </w:rPr>
            </w:pPr>
            <w:r>
              <w:rPr>
                <w:rFonts w:hint="eastAsia" w:ascii="宋体" w:hAnsi="宋体" w:cs="宋体"/>
                <w:kern w:val="0"/>
                <w:szCs w:val="21"/>
              </w:rPr>
              <w:t>入学教育军训</w:t>
            </w:r>
          </w:p>
        </w:tc>
        <w:tc>
          <w:tcPr>
            <w:tcW w:w="9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顶岗实习</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1+X证书考证培训</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综合实训</w:t>
            </w:r>
          </w:p>
        </w:tc>
        <w:tc>
          <w:tcPr>
            <w:tcW w:w="733"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毕业教育</w:t>
            </w:r>
          </w:p>
        </w:tc>
        <w:tc>
          <w:tcPr>
            <w:tcW w:w="796"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毕业设计（论文）</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机动</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寒暑假</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1</w:t>
            </w:r>
          </w:p>
        </w:tc>
        <w:tc>
          <w:tcPr>
            <w:tcW w:w="470" w:type="dxa"/>
            <w:noWrap/>
            <w:vAlign w:val="center"/>
          </w:tcPr>
          <w:p>
            <w:pPr>
              <w:jc w:val="center"/>
              <w:rPr>
                <w:rFonts w:ascii="宋体" w:hAnsi="宋体" w:cs="宋体"/>
                <w:szCs w:val="21"/>
              </w:rPr>
            </w:pPr>
            <w:r>
              <w:rPr>
                <w:rFonts w:hint="eastAsia" w:ascii="宋体" w:hAnsi="宋体" w:cs="宋体"/>
                <w:szCs w:val="21"/>
              </w:rPr>
              <w:t>16</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r>
              <w:rPr>
                <w:rFonts w:hint="eastAsia" w:ascii="宋体" w:hAnsi="宋体" w:cs="宋体"/>
                <w:szCs w:val="21"/>
              </w:rPr>
              <w:t>2</w:t>
            </w: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2</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3</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4</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5</w:t>
            </w:r>
          </w:p>
        </w:tc>
        <w:tc>
          <w:tcPr>
            <w:tcW w:w="470" w:type="dxa"/>
            <w:noWrap/>
            <w:vAlign w:val="center"/>
          </w:tcPr>
          <w:p>
            <w:pPr>
              <w:jc w:val="center"/>
              <w:rPr>
                <w:rFonts w:ascii="宋体" w:hAnsi="宋体" w:cs="宋体"/>
                <w:szCs w:val="21"/>
              </w:rPr>
            </w:pPr>
            <w:r>
              <w:rPr>
                <w:rFonts w:hint="eastAsia" w:ascii="宋体" w:hAnsi="宋体" w:cs="宋体"/>
                <w:szCs w:val="21"/>
              </w:rPr>
              <w:t>15</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r>
              <w:rPr>
                <w:rFonts w:hint="eastAsia" w:ascii="宋体" w:hAnsi="宋体" w:cs="宋体"/>
                <w:szCs w:val="21"/>
              </w:rPr>
              <w:t>3</w:t>
            </w: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6</w:t>
            </w:r>
          </w:p>
        </w:tc>
        <w:tc>
          <w:tcPr>
            <w:tcW w:w="470" w:type="dxa"/>
            <w:noWrap/>
            <w:vAlign w:val="center"/>
          </w:tcPr>
          <w:p>
            <w:pPr>
              <w:jc w:val="center"/>
              <w:rPr>
                <w:rFonts w:ascii="宋体" w:hAnsi="宋体" w:cs="宋体"/>
                <w:szCs w:val="21"/>
              </w:rPr>
            </w:pPr>
          </w:p>
        </w:tc>
        <w:tc>
          <w:tcPr>
            <w:tcW w:w="415" w:type="dxa"/>
            <w:noWrap/>
            <w:vAlign w:val="center"/>
          </w:tcPr>
          <w:p>
            <w:pPr>
              <w:jc w:val="center"/>
              <w:rPr>
                <w:rFonts w:ascii="宋体" w:hAnsi="宋体" w:cs="宋体"/>
                <w:szCs w:val="21"/>
              </w:rPr>
            </w:pP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r>
              <w:rPr>
                <w:rFonts w:hint="eastAsia" w:ascii="宋体" w:hAnsi="宋体" w:cs="宋体"/>
                <w:szCs w:val="21"/>
              </w:rPr>
              <w:t>17</w:t>
            </w: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r>
              <w:rPr>
                <w:rFonts w:hint="eastAsia" w:ascii="宋体" w:hAnsi="宋体" w:cs="宋体"/>
                <w:szCs w:val="21"/>
              </w:rPr>
              <w:t>1</w:t>
            </w:r>
          </w:p>
        </w:tc>
        <w:tc>
          <w:tcPr>
            <w:tcW w:w="796"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309" w:type="dxa"/>
            <w:noWrap/>
            <w:vAlign w:val="center"/>
          </w:tcPr>
          <w:p>
            <w:pPr>
              <w:pStyle w:val="54"/>
              <w:jc w:val="center"/>
              <w:rPr>
                <w:rFonts w:ascii="宋体" w:hAnsi="宋体" w:cs="宋体"/>
                <w:kern w:val="0"/>
                <w:szCs w:val="21"/>
              </w:rPr>
            </w:pPr>
            <w:r>
              <w:rPr>
                <w:rFonts w:hint="eastAsia" w:ascii="宋体" w:hAnsi="宋体" w:cs="宋体"/>
                <w:kern w:val="0"/>
                <w:szCs w:val="21"/>
              </w:rPr>
              <w:t>总计</w:t>
            </w:r>
          </w:p>
        </w:tc>
        <w:tc>
          <w:tcPr>
            <w:tcW w:w="470" w:type="dxa"/>
            <w:noWrap/>
            <w:vAlign w:val="center"/>
          </w:tcPr>
          <w:p>
            <w:pPr>
              <w:jc w:val="center"/>
              <w:rPr>
                <w:rFonts w:ascii="宋体" w:hAnsi="宋体" w:cs="宋体"/>
                <w:szCs w:val="21"/>
              </w:rPr>
            </w:pPr>
            <w:r>
              <w:rPr>
                <w:rFonts w:hint="eastAsia" w:ascii="宋体" w:hAnsi="宋体" w:cs="宋体"/>
                <w:szCs w:val="21"/>
              </w:rPr>
              <w:t>88</w:t>
            </w:r>
          </w:p>
        </w:tc>
        <w:tc>
          <w:tcPr>
            <w:tcW w:w="415" w:type="dxa"/>
            <w:noWrap/>
            <w:vAlign w:val="center"/>
          </w:tcPr>
          <w:p>
            <w:pPr>
              <w:jc w:val="center"/>
              <w:rPr>
                <w:rFonts w:ascii="宋体" w:hAnsi="宋体" w:cs="宋体"/>
                <w:szCs w:val="21"/>
              </w:rPr>
            </w:pPr>
            <w:r>
              <w:rPr>
                <w:rFonts w:hint="eastAsia" w:ascii="宋体" w:hAnsi="宋体" w:cs="宋体"/>
                <w:szCs w:val="21"/>
              </w:rPr>
              <w:t>5</w:t>
            </w:r>
          </w:p>
        </w:tc>
        <w:tc>
          <w:tcPr>
            <w:tcW w:w="965" w:type="dxa"/>
            <w:noWrap/>
            <w:vAlign w:val="center"/>
          </w:tcPr>
          <w:p>
            <w:pPr>
              <w:jc w:val="center"/>
              <w:rPr>
                <w:rFonts w:ascii="宋体" w:hAnsi="宋体" w:cs="宋体"/>
                <w:szCs w:val="21"/>
              </w:rPr>
            </w:pPr>
            <w:r>
              <w:rPr>
                <w:rFonts w:hint="eastAsia" w:ascii="宋体" w:hAnsi="宋体" w:cs="宋体"/>
                <w:szCs w:val="21"/>
              </w:rPr>
              <w:t>2</w:t>
            </w:r>
          </w:p>
        </w:tc>
        <w:tc>
          <w:tcPr>
            <w:tcW w:w="914" w:type="dxa"/>
            <w:noWrap/>
            <w:vAlign w:val="center"/>
          </w:tcPr>
          <w:p>
            <w:pPr>
              <w:jc w:val="center"/>
              <w:rPr>
                <w:rFonts w:ascii="宋体" w:hAnsi="宋体" w:cs="宋体"/>
                <w:szCs w:val="21"/>
              </w:rPr>
            </w:pPr>
            <w:r>
              <w:rPr>
                <w:rFonts w:hint="eastAsia" w:ascii="宋体" w:hAnsi="宋体" w:cs="宋体"/>
                <w:szCs w:val="21"/>
              </w:rPr>
              <w:t>17</w:t>
            </w: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r>
              <w:rPr>
                <w:rFonts w:hint="eastAsia" w:ascii="宋体" w:hAnsi="宋体" w:cs="宋体"/>
                <w:szCs w:val="21"/>
              </w:rPr>
              <w:t>1</w:t>
            </w:r>
          </w:p>
        </w:tc>
        <w:tc>
          <w:tcPr>
            <w:tcW w:w="796"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6</w:t>
            </w:r>
          </w:p>
        </w:tc>
        <w:tc>
          <w:tcPr>
            <w:tcW w:w="614" w:type="dxa"/>
            <w:noWrap/>
            <w:vAlign w:val="center"/>
          </w:tcPr>
          <w:p>
            <w:pPr>
              <w:jc w:val="center"/>
              <w:rPr>
                <w:rFonts w:ascii="宋体" w:hAnsi="宋体" w:cs="宋体"/>
                <w:szCs w:val="21"/>
              </w:rPr>
            </w:pPr>
            <w:r>
              <w:rPr>
                <w:rFonts w:hint="eastAsia" w:ascii="宋体" w:hAnsi="宋体" w:cs="宋体"/>
                <w:szCs w:val="21"/>
              </w:rPr>
              <w:t>36</w:t>
            </w:r>
          </w:p>
        </w:tc>
        <w:tc>
          <w:tcPr>
            <w:tcW w:w="614" w:type="dxa"/>
            <w:noWrap/>
            <w:vAlign w:val="center"/>
          </w:tcPr>
          <w:p>
            <w:pPr>
              <w:jc w:val="center"/>
              <w:rPr>
                <w:rFonts w:ascii="宋体" w:hAnsi="宋体" w:cs="宋体"/>
                <w:szCs w:val="21"/>
              </w:rPr>
            </w:pPr>
            <w:r>
              <w:rPr>
                <w:rFonts w:hint="eastAsia" w:ascii="宋体" w:hAnsi="宋体" w:cs="宋体"/>
                <w:szCs w:val="21"/>
              </w:rPr>
              <w:t>156</w:t>
            </w:r>
          </w:p>
        </w:tc>
      </w:tr>
    </w:tbl>
    <w:p>
      <w:pPr>
        <w:spacing w:line="360" w:lineRule="auto"/>
        <w:rPr>
          <w:rFonts w:ascii="黑体" w:hAnsi="黑体" w:eastAsia="黑体"/>
          <w:sz w:val="24"/>
        </w:rPr>
      </w:pPr>
    </w:p>
    <w:p>
      <w:pPr>
        <w:spacing w:line="360" w:lineRule="auto"/>
        <w:ind w:firstLine="480" w:firstLineChars="200"/>
        <w:rPr>
          <w:rFonts w:ascii="黑体" w:hAnsi="黑体" w:eastAsia="黑体"/>
          <w:sz w:val="24"/>
        </w:rPr>
      </w:pPr>
      <w:r>
        <w:rPr>
          <w:rFonts w:ascii="黑体" w:hAnsi="黑体" w:eastAsia="黑体"/>
          <w:sz w:val="24"/>
        </w:rPr>
        <w:t>（</w:t>
      </w:r>
      <w:r>
        <w:rPr>
          <w:rFonts w:hint="eastAsia" w:ascii="黑体" w:hAnsi="黑体" w:eastAsia="黑体"/>
          <w:sz w:val="24"/>
        </w:rPr>
        <w:t>二</w:t>
      </w:r>
      <w:r>
        <w:rPr>
          <w:rFonts w:ascii="黑体" w:hAnsi="黑体" w:eastAsia="黑体"/>
          <w:sz w:val="24"/>
        </w:rPr>
        <w:t>）</w:t>
      </w:r>
      <w:r>
        <w:rPr>
          <w:rFonts w:hint="eastAsia" w:ascii="黑体" w:hAnsi="黑体" w:eastAsia="黑体"/>
          <w:sz w:val="24"/>
        </w:rPr>
        <w:t>课程设置与教学安排计划表</w:t>
      </w:r>
    </w:p>
    <w:p>
      <w:pPr>
        <w:spacing w:line="360" w:lineRule="auto"/>
        <w:ind w:firstLine="420" w:firstLineChars="200"/>
        <w:rPr>
          <w:rFonts w:ascii="宋体" w:hAnsi="宋体" w:cs="微软雅黑"/>
          <w:szCs w:val="21"/>
        </w:rPr>
      </w:pPr>
      <w:r>
        <w:rPr>
          <w:rFonts w:hint="eastAsia" w:ascii="宋体" w:hAnsi="宋体" w:cs="微软雅黑"/>
          <w:szCs w:val="21"/>
        </w:rPr>
        <w:t>烹饪工艺与营养专业课程设置与教学安排计划如表七所示。</w:t>
      </w:r>
    </w:p>
    <w:p>
      <w:pPr>
        <w:spacing w:line="360" w:lineRule="auto"/>
        <w:ind w:firstLine="420" w:firstLineChars="200"/>
        <w:jc w:val="center"/>
        <w:rPr>
          <w:rFonts w:ascii="宋体" w:hAnsi="宋体"/>
          <w:kern w:val="0"/>
          <w:szCs w:val="21"/>
        </w:rPr>
      </w:pPr>
      <w:r>
        <w:rPr>
          <w:rFonts w:ascii="宋体" w:hAnsi="宋体"/>
          <w:kern w:val="0"/>
          <w:szCs w:val="21"/>
        </w:rPr>
        <w:t>表</w:t>
      </w:r>
      <w:r>
        <w:rPr>
          <w:rFonts w:hint="eastAsia" w:ascii="宋体" w:hAnsi="宋体"/>
          <w:kern w:val="0"/>
          <w:szCs w:val="21"/>
        </w:rPr>
        <w:t>七</w:t>
      </w:r>
      <w:r>
        <w:rPr>
          <w:rFonts w:ascii="宋体" w:hAnsi="宋体"/>
          <w:kern w:val="0"/>
          <w:szCs w:val="21"/>
        </w:rPr>
        <w:t xml:space="preserve"> </w:t>
      </w:r>
      <w:r>
        <w:rPr>
          <w:rFonts w:hint="eastAsia" w:ascii="宋体" w:hAnsi="宋体"/>
          <w:kern w:val="0"/>
          <w:szCs w:val="21"/>
        </w:rPr>
        <w:t>烹饪工艺与营养专业课程设置与教学安排计划表</w:t>
      </w:r>
    </w:p>
    <w:tbl>
      <w:tblPr>
        <w:tblStyle w:val="15"/>
        <w:tblW w:w="11640" w:type="dxa"/>
        <w:jc w:val="center"/>
        <w:tblLayout w:type="autofit"/>
        <w:tblCellMar>
          <w:top w:w="0" w:type="dxa"/>
          <w:left w:w="108" w:type="dxa"/>
          <w:bottom w:w="0" w:type="dxa"/>
          <w:right w:w="108" w:type="dxa"/>
        </w:tblCellMar>
      </w:tblPr>
      <w:tblGrid>
        <w:gridCol w:w="426"/>
        <w:gridCol w:w="426"/>
        <w:gridCol w:w="426"/>
        <w:gridCol w:w="846"/>
        <w:gridCol w:w="1325"/>
        <w:gridCol w:w="645"/>
        <w:gridCol w:w="741"/>
        <w:gridCol w:w="534"/>
        <w:gridCol w:w="640"/>
        <w:gridCol w:w="552"/>
        <w:gridCol w:w="644"/>
        <w:gridCol w:w="636"/>
        <w:gridCol w:w="469"/>
        <w:gridCol w:w="531"/>
        <w:gridCol w:w="469"/>
        <w:gridCol w:w="1172"/>
        <w:gridCol w:w="1158"/>
      </w:tblGrid>
      <w:tr>
        <w:tblPrEx>
          <w:tblCellMar>
            <w:top w:w="0" w:type="dxa"/>
            <w:left w:w="108" w:type="dxa"/>
            <w:bottom w:w="0" w:type="dxa"/>
            <w:right w:w="108" w:type="dxa"/>
          </w:tblCellMar>
        </w:tblPrEx>
        <w:trPr>
          <w:trHeight w:val="300" w:hRule="atLeast"/>
          <w:jc w:val="center"/>
        </w:trPr>
        <w:tc>
          <w:tcPr>
            <w:tcW w:w="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课程性质</w:t>
            </w:r>
          </w:p>
        </w:tc>
        <w:tc>
          <w:tcPr>
            <w:tcW w:w="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课程类别</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课程</w:t>
            </w:r>
          </w:p>
          <w:p>
            <w:pPr>
              <w:widowControl/>
              <w:jc w:val="center"/>
              <w:rPr>
                <w:rFonts w:ascii="宋体" w:hAnsi="宋体" w:cs="宋体"/>
                <w:kern w:val="0"/>
                <w:szCs w:val="21"/>
              </w:rPr>
            </w:pPr>
            <w:r>
              <w:rPr>
                <w:rFonts w:hint="eastAsia" w:ascii="宋体" w:hAnsi="宋体" w:cs="宋体"/>
                <w:kern w:val="0"/>
                <w:szCs w:val="21"/>
              </w:rPr>
              <w:t>编码</w:t>
            </w: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课程名称</w:t>
            </w:r>
          </w:p>
        </w:tc>
        <w:tc>
          <w:tcPr>
            <w:tcW w:w="138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学期</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学分</w:t>
            </w:r>
          </w:p>
        </w:tc>
        <w:tc>
          <w:tcPr>
            <w:tcW w:w="183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学时数</w:t>
            </w:r>
          </w:p>
        </w:tc>
        <w:tc>
          <w:tcPr>
            <w:tcW w:w="455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课程教学周学时</w:t>
            </w:r>
          </w:p>
        </w:tc>
      </w:tr>
      <w:tr>
        <w:tblPrEx>
          <w:tblCellMar>
            <w:top w:w="0" w:type="dxa"/>
            <w:left w:w="108" w:type="dxa"/>
            <w:bottom w:w="0" w:type="dxa"/>
            <w:right w:w="108" w:type="dxa"/>
          </w:tblCellMar>
        </w:tblPrEx>
        <w:trPr>
          <w:trHeight w:val="255" w:hRule="atLeast"/>
          <w:jc w:val="center"/>
        </w:trPr>
        <w:tc>
          <w:tcPr>
            <w:tcW w:w="2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5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考试</w:t>
            </w:r>
          </w:p>
        </w:tc>
        <w:tc>
          <w:tcPr>
            <w:tcW w:w="70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考查</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63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总计</w:t>
            </w:r>
          </w:p>
        </w:tc>
        <w:tc>
          <w:tcPr>
            <w:tcW w:w="5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理论</w:t>
            </w:r>
          </w:p>
        </w:tc>
        <w:tc>
          <w:tcPr>
            <w:tcW w:w="6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实践</w:t>
            </w:r>
          </w:p>
        </w:tc>
        <w:tc>
          <w:tcPr>
            <w:tcW w:w="102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第一学年</w:t>
            </w:r>
          </w:p>
        </w:tc>
        <w:tc>
          <w:tcPr>
            <w:tcW w:w="99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第二学年</w:t>
            </w:r>
          </w:p>
        </w:tc>
        <w:tc>
          <w:tcPr>
            <w:tcW w:w="252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第三学年</w:t>
            </w:r>
          </w:p>
        </w:tc>
      </w:tr>
      <w:tr>
        <w:tblPrEx>
          <w:tblCellMar>
            <w:top w:w="0" w:type="dxa"/>
            <w:left w:w="108" w:type="dxa"/>
            <w:bottom w:w="0" w:type="dxa"/>
            <w:right w:w="108" w:type="dxa"/>
          </w:tblCellMar>
        </w:tblPrEx>
        <w:trPr>
          <w:trHeight w:val="255" w:hRule="atLeast"/>
          <w:jc w:val="center"/>
        </w:trPr>
        <w:tc>
          <w:tcPr>
            <w:tcW w:w="2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5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7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63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5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6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一</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二</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四</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五</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六</w:t>
            </w:r>
          </w:p>
        </w:tc>
      </w:tr>
      <w:tr>
        <w:tblPrEx>
          <w:tblCellMar>
            <w:top w:w="0" w:type="dxa"/>
            <w:left w:w="108" w:type="dxa"/>
            <w:bottom w:w="0" w:type="dxa"/>
            <w:right w:w="108" w:type="dxa"/>
          </w:tblCellMar>
        </w:tblPrEx>
        <w:trPr>
          <w:trHeight w:val="300" w:hRule="atLeast"/>
          <w:jc w:val="center"/>
        </w:trPr>
        <w:tc>
          <w:tcPr>
            <w:tcW w:w="2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5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7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63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5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6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16周</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18周</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18周</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18周</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18周</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18周</w:t>
            </w:r>
          </w:p>
        </w:tc>
      </w:tr>
      <w:tr>
        <w:tblPrEx>
          <w:tblCellMar>
            <w:top w:w="0" w:type="dxa"/>
            <w:left w:w="108" w:type="dxa"/>
            <w:bottom w:w="0" w:type="dxa"/>
            <w:right w:w="108" w:type="dxa"/>
          </w:tblCellMar>
        </w:tblPrEx>
        <w:trPr>
          <w:trHeight w:val="499" w:hRule="atLeast"/>
          <w:jc w:val="center"/>
        </w:trPr>
        <w:tc>
          <w:tcPr>
            <w:tcW w:w="29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公共必修课</w:t>
            </w:r>
          </w:p>
        </w:tc>
        <w:tc>
          <w:tcPr>
            <w:tcW w:w="2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公共基础课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GB0001</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军事理论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36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36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543" w:type="dxa"/>
            <w:tcBorders>
              <w:top w:val="nil"/>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18/2</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GB0002</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军事技能</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112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112 </w:t>
            </w:r>
          </w:p>
        </w:tc>
        <w:tc>
          <w:tcPr>
            <w:tcW w:w="543" w:type="dxa"/>
            <w:tcBorders>
              <w:top w:val="nil"/>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56/2</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82"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GB0003</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毛泽东思想和中国特色社会主义理论体系概论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36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24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12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FF0000"/>
                <w:kern w:val="0"/>
                <w:szCs w:val="21"/>
              </w:rPr>
            </w:pPr>
            <w:r>
              <w:rPr>
                <w:rFonts w:hint="eastAsia" w:ascii="宋体" w:hAnsi="宋体" w:cs="宋体"/>
                <w:b/>
                <w:bCs/>
                <w:color w:val="FF0000"/>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FF0000"/>
                <w:kern w:val="0"/>
                <w:szCs w:val="21"/>
              </w:rPr>
            </w:pPr>
            <w:r>
              <w:rPr>
                <w:rFonts w:hint="eastAsia" w:ascii="宋体" w:hAnsi="宋体" w:cs="宋体"/>
                <w:b/>
                <w:bCs/>
                <w:color w:val="FF0000"/>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ind w:firstLine="422" w:firstLineChars="200"/>
              <w:jc w:val="left"/>
              <w:rPr>
                <w:rFonts w:ascii="宋体" w:hAnsi="宋体" w:cs="宋体"/>
                <w:b/>
                <w:bCs/>
                <w:color w:val="FF0000"/>
                <w:kern w:val="0"/>
                <w:szCs w:val="21"/>
              </w:rPr>
            </w:pPr>
          </w:p>
        </w:tc>
        <w:tc>
          <w:tcPr>
            <w:tcW w:w="1158" w:type="dxa"/>
            <w:tcBorders>
              <w:top w:val="nil"/>
              <w:left w:val="nil"/>
              <w:bottom w:val="single" w:color="000000" w:sz="4" w:space="0"/>
              <w:right w:val="single" w:color="000000" w:sz="4" w:space="0"/>
            </w:tcBorders>
            <w:shd w:val="clear" w:color="auto" w:fill="auto"/>
            <w:vAlign w:val="center"/>
          </w:tcPr>
          <w:p>
            <w:pPr>
              <w:widowControl/>
              <w:ind w:firstLine="422" w:firstLineChars="200"/>
              <w:jc w:val="left"/>
              <w:rPr>
                <w:rFonts w:ascii="宋体" w:hAnsi="宋体" w:cs="宋体"/>
                <w:b/>
                <w:bCs/>
                <w:color w:val="FF0000"/>
                <w:kern w:val="0"/>
                <w:szCs w:val="21"/>
              </w:rPr>
            </w:pPr>
            <w:r>
              <w:rPr>
                <w:rFonts w:hint="eastAsia" w:ascii="宋体" w:hAnsi="宋体" w:cs="宋体"/>
                <w:b/>
                <w:bCs/>
                <w:color w:val="FF0000"/>
                <w:kern w:val="0"/>
                <w:szCs w:val="21"/>
              </w:rPr>
              <w:t>　</w:t>
            </w:r>
          </w:p>
        </w:tc>
      </w:tr>
      <w:tr>
        <w:tblPrEx>
          <w:tblCellMar>
            <w:top w:w="0" w:type="dxa"/>
            <w:left w:w="108" w:type="dxa"/>
            <w:bottom w:w="0" w:type="dxa"/>
            <w:right w:w="108" w:type="dxa"/>
          </w:tblCellMar>
        </w:tblPrEx>
        <w:trPr>
          <w:trHeight w:val="91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GB0004</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思想道德修养与法律基础(含廉洁修身)</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48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38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10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GB0005</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形势与政策</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12345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40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40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3395" w:type="dxa"/>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每学期8学时</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GB0006</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英语</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8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136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108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28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4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4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ind w:firstLine="422" w:firstLineChars="200"/>
              <w:jc w:val="left"/>
              <w:rPr>
                <w:rFonts w:ascii="宋体" w:hAnsi="宋体" w:cs="宋体"/>
                <w:b/>
                <w:bCs/>
                <w:color w:val="FF0000"/>
                <w:kern w:val="0"/>
                <w:szCs w:val="21"/>
              </w:rPr>
            </w:pPr>
            <w:r>
              <w:rPr>
                <w:rFonts w:hint="eastAsia" w:ascii="宋体" w:hAnsi="宋体" w:cs="宋体"/>
                <w:b/>
                <w:bCs/>
                <w:color w:val="FF0000"/>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GB0007</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体育(含健康教育)</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12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4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104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30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74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514" w:type="dxa"/>
            <w:tcBorders>
              <w:top w:val="nil"/>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485" w:type="dxa"/>
            <w:tcBorders>
              <w:top w:val="nil"/>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136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GB0008</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体能测试</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135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18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18 </w:t>
            </w:r>
          </w:p>
        </w:tc>
        <w:tc>
          <w:tcPr>
            <w:tcW w:w="543" w:type="dxa"/>
            <w:tcBorders>
              <w:top w:val="nil"/>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6/1</w:t>
            </w:r>
          </w:p>
        </w:tc>
        <w:tc>
          <w:tcPr>
            <w:tcW w:w="485" w:type="dxa"/>
            <w:tcBorders>
              <w:top w:val="nil"/>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6/1</w:t>
            </w:r>
          </w:p>
        </w:tc>
        <w:tc>
          <w:tcPr>
            <w:tcW w:w="485" w:type="dxa"/>
            <w:tcBorders>
              <w:top w:val="nil"/>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6/1</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GB0009</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信息技术</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12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4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68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30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38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GB0010</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大学语文</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36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30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6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2"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GB0011</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大学生心理健康教育</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32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26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6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GB0012</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大学生职业发展与就业指导</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12345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30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24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6 </w:t>
            </w:r>
          </w:p>
        </w:tc>
        <w:tc>
          <w:tcPr>
            <w:tcW w:w="3395" w:type="dxa"/>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每学期6学时</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GB0013</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大学生创新创业指导</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12345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30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24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6 </w:t>
            </w:r>
          </w:p>
        </w:tc>
        <w:tc>
          <w:tcPr>
            <w:tcW w:w="3395" w:type="dxa"/>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每学期6学时</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GB0014</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国家安全教育</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12345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16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16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3395" w:type="dxa"/>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每学年4-6学时，共16学时</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GB0015</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劳动专题教育</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12345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16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16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3395" w:type="dxa"/>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每学期2-4学时，共16学时</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15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GB0016</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劳动</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12345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44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44 </w:t>
            </w:r>
          </w:p>
        </w:tc>
        <w:tc>
          <w:tcPr>
            <w:tcW w:w="3395" w:type="dxa"/>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每学年设劳动周（安排在寒假或暑假，校内每2周安排一次学生集体劳动，日常实训实习渗透劳动教育）</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15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GB0017</w:t>
            </w:r>
          </w:p>
        </w:tc>
        <w:tc>
          <w:tcPr>
            <w:tcW w:w="1579"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习近平新时代中国特色社会主义思想概论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54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36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18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FF0000"/>
                <w:kern w:val="0"/>
                <w:szCs w:val="21"/>
              </w:rPr>
            </w:pPr>
            <w:r>
              <w:rPr>
                <w:rFonts w:hint="eastAsia" w:ascii="宋体" w:hAnsi="宋体" w:cs="宋体"/>
                <w:b/>
                <w:bCs/>
                <w:color w:val="FF0000"/>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FF0000"/>
                <w:kern w:val="0"/>
                <w:szCs w:val="21"/>
              </w:rPr>
            </w:pPr>
            <w:r>
              <w:rPr>
                <w:rFonts w:hint="eastAsia" w:ascii="宋体" w:hAnsi="宋体" w:cs="宋体"/>
                <w:b/>
                <w:bCs/>
                <w:color w:val="FF0000"/>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FF0000"/>
                <w:kern w:val="0"/>
                <w:szCs w:val="21"/>
              </w:rPr>
            </w:pPr>
            <w:r>
              <w:rPr>
                <w:rFonts w:hint="eastAsia" w:ascii="宋体" w:hAnsi="宋体" w:cs="宋体"/>
                <w:b/>
                <w:bCs/>
                <w:color w:val="FF0000"/>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2" w:firstLineChars="200"/>
              <w:jc w:val="left"/>
              <w:rPr>
                <w:rFonts w:ascii="宋体" w:hAnsi="宋体" w:cs="宋体"/>
                <w:b/>
                <w:bCs/>
                <w:color w:val="FF0000"/>
                <w:kern w:val="0"/>
                <w:szCs w:val="21"/>
              </w:rPr>
            </w:pPr>
            <w:r>
              <w:rPr>
                <w:rFonts w:hint="eastAsia" w:ascii="宋体" w:hAnsi="宋体" w:cs="宋体"/>
                <w:b/>
                <w:bCs/>
                <w:color w:val="FF0000"/>
                <w:kern w:val="0"/>
                <w:szCs w:val="21"/>
              </w:rPr>
              <w:t>　</w:t>
            </w:r>
          </w:p>
        </w:tc>
      </w:tr>
      <w:tr>
        <w:tblPrEx>
          <w:tblCellMar>
            <w:top w:w="0" w:type="dxa"/>
            <w:left w:w="108" w:type="dxa"/>
            <w:bottom w:w="0" w:type="dxa"/>
            <w:right w:w="108" w:type="dxa"/>
          </w:tblCellMar>
        </w:tblPrEx>
        <w:trPr>
          <w:trHeight w:val="499"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78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公共基础课小计</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xml:space="preserve">42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xml:space="preserve">856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xml:space="preserve">478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xml:space="preserve">378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0" w:hRule="atLeast"/>
          <w:jc w:val="center"/>
        </w:trPr>
        <w:tc>
          <w:tcPr>
            <w:tcW w:w="29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专业必修课</w:t>
            </w:r>
          </w:p>
        </w:tc>
        <w:tc>
          <w:tcPr>
            <w:tcW w:w="2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专业核心课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050301</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烹饪原料学</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64</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28</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050302</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烹饪营养学</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72</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050303</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中医饮食保健学</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72</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3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050304</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烹调工艺学</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72</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3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050305</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面点工艺学</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72</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050306</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中式热菜制作</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234</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216</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192</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3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050307</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中式面点制作</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72</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64</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78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专业核心课小计</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36</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640</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156</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484</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其他专业课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050308</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中国烹饪概论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050309</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烹饪卫生与安全学</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7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050310</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宴席设计实务</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2/11</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78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其他专业课小计</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5</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94</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42</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52</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27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实习实训课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050311</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基本功综合训练（烹饪基本功实训、面点基本功实训、营养配餐实训、宴席设计实训）</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4周</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050312</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果蔬雕刻</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64</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56</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2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050313</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毕业设计（论文）</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6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4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120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120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3周</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1周</w:t>
            </w:r>
          </w:p>
        </w:tc>
      </w:tr>
      <w:tr>
        <w:tblPrEx>
          <w:tblCellMar>
            <w:top w:w="0" w:type="dxa"/>
            <w:left w:w="108" w:type="dxa"/>
            <w:bottom w:w="0" w:type="dxa"/>
            <w:right w:w="108" w:type="dxa"/>
          </w:tblCellMar>
        </w:tblPrEx>
        <w:trPr>
          <w:trHeight w:val="40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050314</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顶岗实习</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6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17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510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510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17周</w:t>
            </w:r>
          </w:p>
        </w:tc>
      </w:tr>
      <w:tr>
        <w:tblPrEx>
          <w:tblCellMar>
            <w:top w:w="0" w:type="dxa"/>
            <w:left w:w="108" w:type="dxa"/>
            <w:bottom w:w="0" w:type="dxa"/>
            <w:right w:w="108" w:type="dxa"/>
          </w:tblCellMar>
        </w:tblPrEx>
        <w:trPr>
          <w:trHeight w:val="40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78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实习实训课小计</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29</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814</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8</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806</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43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08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专业必修课小计</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70</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1548</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206</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1342</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510" w:hRule="atLeast"/>
          <w:jc w:val="center"/>
        </w:trPr>
        <w:tc>
          <w:tcPr>
            <w:tcW w:w="29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2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公共选修课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GX0001</w:t>
            </w:r>
          </w:p>
          <w:p>
            <w:pPr>
              <w:widowControl/>
              <w:jc w:val="center"/>
              <w:rPr>
                <w:rFonts w:ascii="宋体" w:hAnsi="宋体" w:cs="宋体"/>
                <w:kern w:val="0"/>
                <w:szCs w:val="21"/>
              </w:rPr>
            </w:pPr>
            <w:r>
              <w:rPr>
                <w:rFonts w:hint="eastAsia" w:ascii="宋体" w:hAnsi="宋体" w:cs="宋体"/>
                <w:kern w:val="0"/>
                <w:szCs w:val="21"/>
              </w:rPr>
              <w:t>GX0002</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史学类（开设党史、国史等）</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36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36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000000" w:fill="FFFF00"/>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6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GX0003</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马克思主义中国化进程与青年学生使命担当</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16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16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5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GX0004</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职业礼仪</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4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36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30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6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2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GX0005</w:t>
            </w:r>
          </w:p>
          <w:p>
            <w:pPr>
              <w:widowControl/>
              <w:jc w:val="center"/>
              <w:rPr>
                <w:rFonts w:hint="eastAsia" w:ascii="宋体" w:hAnsi="宋体" w:eastAsia="宋体" w:cs="宋体"/>
                <w:kern w:val="0"/>
                <w:szCs w:val="21"/>
                <w:lang w:eastAsia="zh-CN"/>
              </w:rPr>
            </w:pPr>
            <w:r>
              <w:rPr>
                <w:rFonts w:hint="eastAsia" w:ascii="宋体" w:hAnsi="宋体" w:cs="宋体"/>
                <w:kern w:val="0"/>
                <w:szCs w:val="21"/>
              </w:rPr>
              <w:t>GX0006</w:t>
            </w:r>
          </w:p>
          <w:p>
            <w:pPr>
              <w:widowControl/>
              <w:jc w:val="center"/>
              <w:rPr>
                <w:rFonts w:hint="eastAsia" w:ascii="宋体" w:hAnsi="宋体" w:eastAsia="宋体" w:cs="宋体"/>
                <w:kern w:val="0"/>
                <w:szCs w:val="21"/>
                <w:lang w:eastAsia="zh-CN"/>
              </w:rPr>
            </w:pPr>
            <w:r>
              <w:rPr>
                <w:rFonts w:hint="eastAsia" w:ascii="宋体" w:hAnsi="宋体" w:cs="宋体"/>
                <w:kern w:val="0"/>
                <w:szCs w:val="21"/>
              </w:rPr>
              <w:t>GX0007</w:t>
            </w:r>
          </w:p>
          <w:p>
            <w:pPr>
              <w:widowControl/>
              <w:jc w:val="center"/>
              <w:rPr>
                <w:rFonts w:ascii="宋体" w:hAnsi="宋体" w:cs="宋体"/>
                <w:kern w:val="0"/>
                <w:szCs w:val="21"/>
              </w:rPr>
            </w:pPr>
            <w:r>
              <w:rPr>
                <w:rFonts w:hint="eastAsia" w:ascii="宋体" w:hAnsi="宋体" w:cs="宋体"/>
                <w:kern w:val="0"/>
                <w:szCs w:val="21"/>
              </w:rPr>
              <w:t>GX0008</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公共艺术类（开设影视鉴赏、书法鉴赏、美术鉴赏、字体设计等）</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4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36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36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3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GX0009</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中华优秀传统文化</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5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22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22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2/11</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78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公共选修课需达到6学分</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xml:space="preserve">6 </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xml:space="preserve">110 </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xml:space="preserve">104 </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xml:space="preserve">6 </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3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专业选修课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050315</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烧卤工艺与风味菜肴制作技术</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2/11</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5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050316</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冷拼制作技术</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32</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050317</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果酱画制作技术</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5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050318</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餐饮经营管理</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2/11</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0"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050319</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西式面点制作</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45</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58</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46</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2/11</w:t>
            </w:r>
          </w:p>
        </w:tc>
        <w:tc>
          <w:tcPr>
            <w:tcW w:w="11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8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050320</w:t>
            </w:r>
          </w:p>
        </w:tc>
        <w:tc>
          <w:tcPr>
            <w:tcW w:w="157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粤式点心制作</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72</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56</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78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专业选修课需达到12学分</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12</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210</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53</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157</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5" w:hRule="atLeast"/>
          <w:jc w:val="center"/>
        </w:trPr>
        <w:tc>
          <w:tcPr>
            <w:tcW w:w="2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08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选修课小计</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18</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320</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157</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163</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465" w:hRule="atLeast"/>
          <w:jc w:val="center"/>
        </w:trPr>
        <w:tc>
          <w:tcPr>
            <w:tcW w:w="47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总计</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130</w:t>
            </w:r>
          </w:p>
        </w:tc>
        <w:tc>
          <w:tcPr>
            <w:tcW w:w="6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2724</w:t>
            </w:r>
          </w:p>
        </w:tc>
        <w:tc>
          <w:tcPr>
            <w:tcW w:w="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841</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1883</w:t>
            </w:r>
          </w:p>
        </w:tc>
        <w:tc>
          <w:tcPr>
            <w:tcW w:w="5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1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bl>
    <w:p>
      <w:pPr>
        <w:widowControl/>
        <w:rPr>
          <w:rFonts w:ascii="宋体" w:hAnsi="宋体" w:cs="宋体"/>
          <w:kern w:val="0"/>
          <w:szCs w:val="21"/>
        </w:rPr>
      </w:pPr>
      <w:r>
        <w:rPr>
          <w:rFonts w:hint="eastAsia" w:ascii="宋体" w:hAnsi="宋体" w:cs="宋体"/>
          <w:kern w:val="0"/>
          <w:szCs w:val="21"/>
        </w:rPr>
        <w:t>专业选修课程选1、3-6，这5门。</w:t>
      </w:r>
    </w:p>
    <w:p>
      <w:pPr>
        <w:adjustRightInd w:val="0"/>
        <w:snapToGrid w:val="0"/>
        <w:spacing w:line="360" w:lineRule="auto"/>
        <w:ind w:firstLine="480" w:firstLineChars="200"/>
        <w:jc w:val="left"/>
        <w:rPr>
          <w:rFonts w:ascii="等线" w:hAnsi="等线"/>
        </w:rPr>
      </w:pPr>
      <w:r>
        <w:rPr>
          <w:rFonts w:hint="eastAsia" w:ascii="黑体" w:hAnsi="黑体" w:eastAsia="黑体"/>
          <w:sz w:val="24"/>
        </w:rPr>
        <w:t>（三）课程结构比例表</w:t>
      </w:r>
    </w:p>
    <w:p>
      <w:pPr>
        <w:adjustRightInd w:val="0"/>
        <w:snapToGrid w:val="0"/>
        <w:spacing w:line="360" w:lineRule="auto"/>
        <w:ind w:firstLine="409" w:firstLineChars="195"/>
        <w:rPr>
          <w:rFonts w:hint="eastAsia" w:ascii="等线" w:hAnsi="等线"/>
        </w:rPr>
      </w:pPr>
      <w:r>
        <w:rPr>
          <w:rFonts w:hint="eastAsia" w:ascii="宋体" w:hAnsi="宋体" w:cs="微软雅黑"/>
          <w:szCs w:val="21"/>
        </w:rPr>
        <w:t>烹饪工艺与营养</w:t>
      </w:r>
      <w:r>
        <w:rPr>
          <w:rFonts w:hint="eastAsia" w:ascii="等线" w:hAnsi="等线"/>
        </w:rPr>
        <w:t>专业课程结构比例如表八所示。</w:t>
      </w:r>
    </w:p>
    <w:p>
      <w:pPr>
        <w:adjustRightInd w:val="0"/>
        <w:snapToGrid w:val="0"/>
        <w:spacing w:line="360" w:lineRule="auto"/>
        <w:ind w:firstLine="409" w:firstLineChars="195"/>
        <w:rPr>
          <w:rFonts w:hint="eastAsia" w:ascii="等线" w:hAnsi="等线"/>
        </w:rPr>
      </w:pPr>
    </w:p>
    <w:p>
      <w:pPr>
        <w:adjustRightInd w:val="0"/>
        <w:snapToGrid w:val="0"/>
        <w:spacing w:line="360" w:lineRule="auto"/>
        <w:ind w:firstLine="409" w:firstLineChars="195"/>
        <w:rPr>
          <w:rFonts w:hint="eastAsia" w:ascii="等线" w:hAnsi="等线"/>
        </w:rPr>
      </w:pPr>
    </w:p>
    <w:p>
      <w:pPr>
        <w:adjustRightInd w:val="0"/>
        <w:snapToGrid w:val="0"/>
        <w:spacing w:line="360" w:lineRule="auto"/>
        <w:ind w:firstLine="409" w:firstLineChars="195"/>
        <w:rPr>
          <w:rFonts w:hint="eastAsia" w:ascii="等线" w:hAnsi="等线"/>
        </w:rPr>
      </w:pPr>
    </w:p>
    <w:tbl>
      <w:tblPr>
        <w:tblStyle w:val="15"/>
        <w:tblW w:w="7560" w:type="dxa"/>
        <w:tblInd w:w="113" w:type="dxa"/>
        <w:tblLayout w:type="autofit"/>
        <w:tblCellMar>
          <w:top w:w="0" w:type="dxa"/>
          <w:left w:w="108" w:type="dxa"/>
          <w:bottom w:w="0" w:type="dxa"/>
          <w:right w:w="108" w:type="dxa"/>
        </w:tblCellMar>
      </w:tblPr>
      <w:tblGrid>
        <w:gridCol w:w="1080"/>
        <w:gridCol w:w="1080"/>
        <w:gridCol w:w="1080"/>
        <w:gridCol w:w="1080"/>
        <w:gridCol w:w="1080"/>
        <w:gridCol w:w="1080"/>
        <w:gridCol w:w="1080"/>
      </w:tblGrid>
      <w:tr>
        <w:tblPrEx>
          <w:tblCellMar>
            <w:top w:w="0" w:type="dxa"/>
            <w:left w:w="108" w:type="dxa"/>
            <w:bottom w:w="0" w:type="dxa"/>
            <w:right w:w="108" w:type="dxa"/>
          </w:tblCellMar>
        </w:tblPrEx>
        <w:trPr>
          <w:trHeight w:val="270" w:hRule="atLeast"/>
        </w:trPr>
        <w:tc>
          <w:tcPr>
            <w:tcW w:w="7560" w:type="dxa"/>
            <w:gridSpan w:val="7"/>
            <w:tcBorders>
              <w:top w:val="single" w:color="auto" w:sz="4" w:space="0"/>
              <w:left w:val="single" w:color="auto" w:sz="4" w:space="0"/>
              <w:bottom w:val="nil"/>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表八 </w:t>
            </w:r>
            <w:r>
              <w:rPr>
                <w:rFonts w:ascii="宋体" w:hAnsi="宋体" w:cs="宋体"/>
                <w:color w:val="000000"/>
                <w:kern w:val="0"/>
                <w:sz w:val="22"/>
                <w:szCs w:val="22"/>
              </w:rPr>
              <w:t xml:space="preserve"> </w:t>
            </w:r>
            <w:r>
              <w:rPr>
                <w:rFonts w:hint="eastAsia" w:ascii="宋体" w:hAnsi="宋体" w:cs="宋体"/>
                <w:color w:val="000000"/>
                <w:kern w:val="0"/>
                <w:sz w:val="22"/>
                <w:szCs w:val="22"/>
              </w:rPr>
              <w:t>烹饪工艺与营养专业课程结构比例表</w:t>
            </w:r>
          </w:p>
        </w:tc>
      </w:tr>
      <w:tr>
        <w:tblPrEx>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课程分类</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xml:space="preserve">          学时及比例</w:t>
            </w:r>
          </w:p>
        </w:tc>
      </w:tr>
      <w:tr>
        <w:tblPrEx>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总学时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理论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实践</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公共必修课程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856</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31.4%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478</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17.5%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378</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13.9%</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专业必修课程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1548</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56.8%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206</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7.6%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1342</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49.3%</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必修课程小计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2404</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88.3%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684</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25.1%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1720</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63.1%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公共选修课程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110</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4.0%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104</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3.8%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0.2%</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专业选修课程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210</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7.7%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53</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157</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5.8%</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选修课程小计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320</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11.7%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157</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5.8%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163</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6.0%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合</w:t>
            </w:r>
            <w:r>
              <w:rPr>
                <w:color w:val="000000"/>
                <w:kern w:val="0"/>
                <w:szCs w:val="21"/>
              </w:rPr>
              <w:t xml:space="preserve">    </w:t>
            </w:r>
            <w:r>
              <w:rPr>
                <w:rFonts w:hint="eastAsia" w:ascii="宋体" w:hAnsi="宋体" w:cs="宋体"/>
                <w:color w:val="000000"/>
                <w:kern w:val="0"/>
                <w:szCs w:val="21"/>
              </w:rPr>
              <w:t>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2724</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100.0%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841</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30.9%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1883</w:t>
            </w:r>
          </w:p>
        </w:tc>
        <w:tc>
          <w:tcPr>
            <w:tcW w:w="1080"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69.1%</w:t>
            </w:r>
          </w:p>
        </w:tc>
      </w:tr>
    </w:tbl>
    <w:p>
      <w:pPr>
        <w:spacing w:line="360" w:lineRule="auto"/>
        <w:ind w:firstLine="560" w:firstLineChars="200"/>
        <w:rPr>
          <w:rFonts w:eastAsia="黑体"/>
          <w:sz w:val="28"/>
          <w:szCs w:val="28"/>
        </w:rPr>
      </w:pPr>
    </w:p>
    <w:p>
      <w:pPr>
        <w:spacing w:line="360" w:lineRule="auto"/>
        <w:ind w:firstLine="560" w:firstLineChars="200"/>
        <w:rPr>
          <w:rFonts w:ascii="黑体" w:hAnsi="黑体" w:eastAsia="黑体"/>
          <w:b/>
          <w:bCs/>
          <w:sz w:val="30"/>
          <w:szCs w:val="30"/>
        </w:rPr>
      </w:pPr>
      <w:r>
        <w:rPr>
          <w:rFonts w:hint="eastAsia" w:eastAsia="黑体"/>
          <w:sz w:val="28"/>
          <w:szCs w:val="28"/>
        </w:rPr>
        <w:t>八</w:t>
      </w:r>
      <w:r>
        <w:rPr>
          <w:rFonts w:eastAsia="黑体"/>
          <w:sz w:val="28"/>
          <w:szCs w:val="28"/>
        </w:rPr>
        <w:t>、</w:t>
      </w:r>
      <w:r>
        <w:rPr>
          <w:rFonts w:hint="eastAsia" w:eastAsia="黑体"/>
          <w:sz w:val="28"/>
          <w:szCs w:val="28"/>
        </w:rPr>
        <w:t>实施保障</w:t>
      </w:r>
    </w:p>
    <w:p>
      <w:pPr>
        <w:adjustRightInd w:val="0"/>
        <w:spacing w:line="360" w:lineRule="auto"/>
        <w:ind w:firstLine="480" w:firstLineChars="200"/>
        <w:outlineLvl w:val="2"/>
        <w:rPr>
          <w:rFonts w:ascii="黑体" w:hAnsi="黑体" w:eastAsia="黑体"/>
          <w:sz w:val="24"/>
        </w:rPr>
      </w:pPr>
      <w:r>
        <w:rPr>
          <w:rFonts w:ascii="黑体" w:hAnsi="黑体" w:eastAsia="黑体"/>
          <w:sz w:val="24"/>
        </w:rPr>
        <w:t>（</w:t>
      </w:r>
      <w:r>
        <w:rPr>
          <w:rFonts w:hint="eastAsia" w:ascii="黑体" w:hAnsi="黑体" w:eastAsia="黑体"/>
          <w:sz w:val="24"/>
        </w:rPr>
        <w:t>一</w:t>
      </w:r>
      <w:r>
        <w:rPr>
          <w:rFonts w:ascii="黑体" w:hAnsi="黑体" w:eastAsia="黑体"/>
          <w:sz w:val="24"/>
        </w:rPr>
        <w:t>）师资队伍</w:t>
      </w:r>
    </w:p>
    <w:p>
      <w:pPr>
        <w:spacing w:line="360" w:lineRule="auto"/>
        <w:ind w:firstLine="422" w:firstLineChars="200"/>
        <w:rPr>
          <w:rFonts w:ascii="宋体" w:hAnsi="宋体"/>
          <w:b/>
          <w:szCs w:val="21"/>
        </w:rPr>
      </w:pPr>
      <w:r>
        <w:rPr>
          <w:rFonts w:hint="eastAsia" w:ascii="宋体" w:hAnsi="宋体"/>
          <w:b/>
          <w:szCs w:val="21"/>
        </w:rPr>
        <w:t>1.专业教师任职资格</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专业教师具有高等职业学校及以上教师资格证书；或具有酒店行业部门经理从业经理（不少于3年）、部门经理或总经理上岗证书；具备研究生及以上学历；职称要求中级和高级达到60%，其中高职称教师不少于20%。</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2.专任教师任职资格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（1）专任教师和实训指导教师应具备一年以上酒店行业实践经历，专业核心技能课程教师应取得二级烹调师或一级烹调师资格证书。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（2）教师要掌握信息现代化教学手段，具备使用或制作多媒体课件进行教学的能力。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（3）专任教师(合实训指导教师)应具备对现行教材的筛选、组合能力。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（4）明确专业培养目标，能按照教学大纲的要求科学合理的安排教学内容。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（5）具备运用灵活多样的教学模式、教学方法进行教学的能力。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（6）具有较强的语言表达能力。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（7）能够将学生的思想道德教育融入到教学全过程。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（8）专任教师应具备餐饮企业挂职工作经历一年以上，对餐饮行业各部门运营状况有实际的了解，具备餐饮行业的实际工作能力。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3.兼课教师任职资格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（1）兼课教师应具备一年以上餐饮行业实践经历，专业核心技能课程教师应取得中级以上的技术资格证书。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（2）教师要掌握信息现代化教学手段，具备使用或制作多媒体课件进行教学的能力。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（3）明确专业培养目标，能按照教学大纲的要求科学合理的安排教学内容。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（4）具有较强的语言表达能力。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（5）能够将学生的思想道德教育融入到教学全过程。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4.外聘兼职兼课教师任职资格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（1）校外兼职教师占专业教师总数30%左右，承担全部学时20%左右教学任务。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（2）具有良好的师德，较强的敬业精神，具有一定的教育教学经验，熟悉高等教育的教学方法。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（3）具有5年以上本专业工作经历。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（4）具有中级(含)专业技术职称或硕士(含)以上学位或大中型企业中层以上管理人员，专业知识水平较高。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（5）具有较强的语言表达能力和课堂组织能力。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（6）具有完成课堂讲授、实习指导、论文指导等教学任务的充沛精力和充足时间。</w:t>
      </w:r>
    </w:p>
    <w:p>
      <w:pPr>
        <w:adjustRightInd w:val="0"/>
        <w:spacing w:line="360" w:lineRule="auto"/>
        <w:ind w:firstLine="480" w:firstLineChars="200"/>
        <w:outlineLvl w:val="2"/>
        <w:rPr>
          <w:rFonts w:ascii="黑体" w:hAnsi="黑体" w:eastAsia="黑体"/>
          <w:b/>
          <w:bCs/>
          <w:sz w:val="28"/>
          <w:szCs w:val="28"/>
        </w:rPr>
      </w:pPr>
      <w:r>
        <w:rPr>
          <w:rFonts w:hint="eastAsia" w:ascii="黑体" w:hAnsi="黑体" w:eastAsia="黑体"/>
          <w:sz w:val="24"/>
        </w:rPr>
        <w:t>（二）</w:t>
      </w:r>
      <w:r>
        <w:rPr>
          <w:rFonts w:ascii="黑体" w:hAnsi="黑体" w:eastAsia="黑体"/>
          <w:sz w:val="24"/>
        </w:rPr>
        <w:t>教学设施</w:t>
      </w:r>
      <w:r>
        <w:rPr>
          <w:rFonts w:hint="eastAsia" w:ascii="黑体" w:hAnsi="黑体" w:eastAsia="黑体"/>
          <w:b/>
          <w:bCs/>
          <w:sz w:val="28"/>
          <w:szCs w:val="28"/>
        </w:rPr>
        <w:t xml:space="preserve"> </w:t>
      </w:r>
    </w:p>
    <w:p>
      <w:pPr>
        <w:spacing w:line="360" w:lineRule="auto"/>
        <w:ind w:firstLine="422" w:firstLineChars="200"/>
        <w:rPr>
          <w:rFonts w:asciiTheme="minorEastAsia" w:hAnsiTheme="minorEastAsia" w:eastAsiaTheme="minorEastAsia"/>
          <w:b/>
          <w:szCs w:val="21"/>
        </w:rPr>
      </w:pPr>
      <w:r>
        <w:rPr>
          <w:rFonts w:hint="eastAsia" w:ascii="宋体" w:hAnsi="宋体"/>
          <w:b/>
          <w:szCs w:val="21"/>
        </w:rPr>
        <w:t xml:space="preserve">1.校内外实训条件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烹饪工艺与营养专业的校内实训设施建设和配置的原则应体现实景、实境的原则，结合当前酒店厨房设施设备和学校教学条件来展开实训教学。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（1）基本功实训室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学生在本实训室内利用器具，进行刀工、翻锅和调味训练，通过训练学生切配、炒菜动作，使学生掌握专业基本技能，培养学生的团队意识和协作精神。本实训室的项目应包括:刀工实训、锅工实训、调味实训。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（2）中式面点实训室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学生在本实训室进行中式面点制作、广式点心制作等。学生通过操作点心设备、对传统中式点心学习和实训。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（3）中餐热菜实训室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学生在本实训室进行粤式菜肴制作。学生通过制作菜肴，加强对原料处理能力，增长烹饪技艺。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（4）茶艺实训室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学生在本实训室上《茶文化与茶艺》理论课程与《中华茶艺技能实训》的实践课。学生通过对六大茶类的认识与了解，进一步提高其学习兴趣及文化品位:通过实践课程中冲泡技艺的学习，使他们掌握绿茶、红茶、乌龙茶的冲泡技艺，并能够进行茶艺表演。对学生文化品位及综合素质的提升都有一定的作用。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（6）校外实习基地</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目标是建成各高职院校烹饪专业酒店高技能人才实战训练中心。烹饪专业校外实习基地建设紧扣区域经济和产业的定位，确定培养目标，有助于学生获取“知识”——必备的基础理论知识和专业理论知识；有助于学生练就“能力”——专业的实际工作基本能力和基本技能；有助于学生造就职业“素质”——良好的职业道德和敬业爱岗精神，同时，也有助于提高人才培养的整体质量和对现代社会环境的适应性。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校外实习基地的选择一般要符合以下条件： </w:t>
      </w:r>
    </w:p>
    <w:p>
      <w:pPr>
        <w:spacing w:line="360" w:lineRule="auto"/>
        <w:ind w:firstLine="420" w:firstLineChars="200"/>
        <w:rPr>
          <w:rFonts w:asciiTheme="minorEastAsia" w:hAnsiTheme="minorEastAsia" w:eastAsiaTheme="minorEastAsia"/>
          <w:szCs w:val="21"/>
        </w:rPr>
      </w:pPr>
      <w:r>
        <w:rPr>
          <w:rFonts w:hint="eastAsia" w:ascii="宋体" w:hAnsi="宋体" w:cs="宋体"/>
          <w:szCs w:val="21"/>
        </w:rPr>
        <w:t>①</w:t>
      </w:r>
      <w:r>
        <w:rPr>
          <w:rFonts w:hint="eastAsia" w:asciiTheme="minorEastAsia" w:hAnsiTheme="minorEastAsia" w:eastAsiaTheme="minorEastAsia"/>
          <w:szCs w:val="21"/>
        </w:rPr>
        <w:t>优先选择长期合作企业。</w:t>
      </w:r>
    </w:p>
    <w:p>
      <w:pPr>
        <w:spacing w:line="360" w:lineRule="auto"/>
        <w:ind w:firstLine="420" w:firstLineChars="200"/>
        <w:rPr>
          <w:rFonts w:asciiTheme="minorEastAsia" w:hAnsiTheme="minorEastAsia" w:eastAsiaTheme="minorEastAsia"/>
          <w:szCs w:val="21"/>
        </w:rPr>
      </w:pPr>
      <w:r>
        <w:rPr>
          <w:rFonts w:hint="eastAsia" w:ascii="宋体" w:hAnsi="宋体" w:cs="宋体"/>
          <w:szCs w:val="21"/>
        </w:rPr>
        <w:t>②</w:t>
      </w:r>
      <w:r>
        <w:rPr>
          <w:rFonts w:hint="eastAsia" w:asciiTheme="minorEastAsia" w:hAnsiTheme="minorEastAsia" w:eastAsiaTheme="minorEastAsia"/>
          <w:szCs w:val="21"/>
        </w:rPr>
        <w:t>优先选择毕业生集聚企业。</w:t>
      </w:r>
    </w:p>
    <w:p>
      <w:pPr>
        <w:spacing w:line="360" w:lineRule="auto"/>
        <w:ind w:firstLine="420" w:firstLineChars="200"/>
        <w:rPr>
          <w:rFonts w:asciiTheme="minorEastAsia" w:hAnsiTheme="minorEastAsia" w:eastAsiaTheme="minorEastAsia"/>
          <w:szCs w:val="21"/>
        </w:rPr>
      </w:pPr>
      <w:r>
        <w:rPr>
          <w:rFonts w:hint="eastAsia" w:ascii="宋体" w:hAnsi="宋体" w:cs="宋体"/>
          <w:szCs w:val="21"/>
        </w:rPr>
        <w:t>③</w:t>
      </w:r>
      <w:r>
        <w:rPr>
          <w:rFonts w:hint="eastAsia" w:asciiTheme="minorEastAsia" w:hAnsiTheme="minorEastAsia" w:eastAsiaTheme="minorEastAsia"/>
          <w:szCs w:val="21"/>
        </w:rPr>
        <w:t>优先选择集团化管理企业。</w:t>
      </w:r>
    </w:p>
    <w:p>
      <w:pPr>
        <w:spacing w:line="360" w:lineRule="auto"/>
        <w:ind w:firstLine="420" w:firstLineChars="200"/>
        <w:rPr>
          <w:rFonts w:asciiTheme="minorEastAsia" w:hAnsiTheme="minorEastAsia" w:eastAsiaTheme="minorEastAsia"/>
          <w:szCs w:val="21"/>
        </w:rPr>
      </w:pPr>
      <w:r>
        <w:rPr>
          <w:rFonts w:hint="eastAsia" w:ascii="宋体" w:hAnsi="宋体" w:cs="宋体"/>
          <w:szCs w:val="21"/>
        </w:rPr>
        <w:t>④</w:t>
      </w:r>
      <w:r>
        <w:rPr>
          <w:rFonts w:hint="eastAsia" w:asciiTheme="minorEastAsia" w:hAnsiTheme="minorEastAsia" w:eastAsiaTheme="minorEastAsia"/>
          <w:szCs w:val="21"/>
        </w:rPr>
        <w:t>优先选择提供实践指导教师和实训工位，能完成培训计划的企业。</w:t>
      </w:r>
    </w:p>
    <w:p>
      <w:pPr>
        <w:spacing w:line="360" w:lineRule="auto"/>
        <w:ind w:firstLine="420" w:firstLineChars="200"/>
        <w:rPr>
          <w:rFonts w:asciiTheme="minorEastAsia" w:hAnsiTheme="minorEastAsia" w:eastAsiaTheme="minorEastAsia"/>
          <w:szCs w:val="21"/>
        </w:rPr>
      </w:pPr>
      <w:r>
        <w:rPr>
          <w:rFonts w:hint="eastAsia" w:ascii="宋体" w:hAnsi="宋体" w:cs="宋体"/>
          <w:szCs w:val="21"/>
        </w:rPr>
        <w:t>⑤</w:t>
      </w:r>
      <w:r>
        <w:rPr>
          <w:rFonts w:hint="eastAsia" w:asciiTheme="minorEastAsia" w:hAnsiTheme="minorEastAsia" w:eastAsiaTheme="minorEastAsia"/>
          <w:szCs w:val="21"/>
        </w:rPr>
        <w:t>优先选择具有吸纳一定实习规模(20人以上)和提供住宿条件的企业。</w:t>
      </w:r>
    </w:p>
    <w:p>
      <w:pPr>
        <w:spacing w:line="360" w:lineRule="auto"/>
        <w:ind w:firstLine="420" w:firstLineChars="200"/>
        <w:rPr>
          <w:rFonts w:asciiTheme="minorEastAsia" w:hAnsiTheme="minorEastAsia" w:eastAsiaTheme="minorEastAsia"/>
          <w:szCs w:val="21"/>
        </w:rPr>
      </w:pPr>
      <w:r>
        <w:rPr>
          <w:rFonts w:hint="eastAsia" w:ascii="宋体" w:hAnsi="宋体" w:cs="宋体"/>
          <w:szCs w:val="21"/>
        </w:rPr>
        <w:t>⑥</w:t>
      </w:r>
      <w:r>
        <w:rPr>
          <w:rFonts w:hint="eastAsia" w:asciiTheme="minorEastAsia" w:hAnsiTheme="minorEastAsia" w:eastAsiaTheme="minorEastAsia"/>
          <w:szCs w:val="21"/>
        </w:rPr>
        <w:t>优先选择能满足专业实践教学和技能训练要求，能为学生提供顶岗实训半年以上岗位的企业。</w:t>
      </w:r>
    </w:p>
    <w:p>
      <w:pPr>
        <w:spacing w:line="360" w:lineRule="auto"/>
        <w:ind w:firstLine="420" w:firstLineChars="200"/>
        <w:rPr>
          <w:rFonts w:asciiTheme="minorEastAsia" w:hAnsiTheme="minorEastAsia" w:eastAsiaTheme="minorEastAsia"/>
          <w:szCs w:val="21"/>
        </w:rPr>
      </w:pPr>
      <w:r>
        <w:rPr>
          <w:rFonts w:hint="eastAsia" w:ascii="宋体" w:hAnsi="宋体" w:cs="宋体"/>
          <w:szCs w:val="21"/>
        </w:rPr>
        <w:t>⑦</w:t>
      </w:r>
      <w:r>
        <w:rPr>
          <w:rFonts w:hint="eastAsia" w:asciiTheme="minorEastAsia" w:hAnsiTheme="minorEastAsia" w:eastAsiaTheme="minorEastAsia"/>
          <w:szCs w:val="21"/>
        </w:rPr>
        <w:t>优先选择经营业绩良好的诚信规范的企业。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学校在进行校外实习基地建设中要注意:与校外合作单位应有长期合作协议和每次阶段性实习教学的短期合作协议；学生在校外合作单位实训或者实习，必须由学校指派专业教师随班辅导，以确保学生校外实习的安全并保证充分完成实习内教学任务；校外实习教学必须依据教学计划和教学大纲所规定的内容和标准，根据校外合作单位的具体情况和要求，通过校企协商，共同制定出可行性实习教学计划。每次阶段性实训都应有实习课题计划和教学标准；学生实习结束时，必须进行实习考核及鉴定，并作为正式学业成绩记入学生档案。 </w:t>
      </w:r>
    </w:p>
    <w:p>
      <w:pPr>
        <w:pStyle w:val="6"/>
        <w:spacing w:line="360" w:lineRule="auto"/>
        <w:ind w:left="0" w:leftChars="0" w:firstLine="420" w:firstLineChars="200"/>
        <w:rPr>
          <w:rFonts w:ascii="宋体" w:hAnsi="宋体"/>
          <w:szCs w:val="21"/>
        </w:rPr>
      </w:pPr>
      <w:r>
        <w:rPr>
          <w:rFonts w:hint="eastAsia" w:asciiTheme="minorEastAsia" w:hAnsiTheme="minorEastAsia" w:eastAsiaTheme="minorEastAsia"/>
          <w:szCs w:val="21"/>
        </w:rPr>
        <w:t>烹饪工艺与营养专业已在茂名、珠三角地区建立十多个校外实习基地，学生每年都可以在合作企业开展单独设置的专业实习和顶岗实习，职业能力和职业素养得到大幅度提高。</w:t>
      </w:r>
      <w:r>
        <w:rPr>
          <w:rFonts w:hint="eastAsia" w:ascii="宋体" w:hAnsi="宋体" w:cs="宋体"/>
          <w:kern w:val="0"/>
          <w:szCs w:val="21"/>
        </w:rPr>
        <w:t>本专业</w:t>
      </w:r>
      <w:r>
        <w:rPr>
          <w:rFonts w:hint="eastAsia" w:ascii="宋体" w:hAnsi="宋体"/>
          <w:szCs w:val="21"/>
        </w:rPr>
        <w:t>校外实习（实训）基地见表九。</w:t>
      </w:r>
    </w:p>
    <w:p>
      <w:pPr>
        <w:jc w:val="center"/>
        <w:rPr>
          <w:rFonts w:ascii="宋体" w:hAnsi="宋体"/>
        </w:rPr>
      </w:pPr>
      <w:r>
        <w:rPr>
          <w:rFonts w:hint="eastAsia" w:ascii="宋体" w:hAnsi="宋体"/>
        </w:rPr>
        <w:t>表九 烹饪工艺与营养专业校外实习（实训）基地表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59"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序号</w:t>
            </w:r>
          </w:p>
        </w:tc>
        <w:tc>
          <w:tcPr>
            <w:tcW w:w="4722"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合作企业</w:t>
            </w:r>
          </w:p>
        </w:tc>
        <w:tc>
          <w:tcPr>
            <w:tcW w:w="2841"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建立时间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东莞洲际酒店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茂名国际大酒店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茂名浪漫海岸温德姆酒店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茂名高铁站亚朵酒店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维也纳国际酒店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茂名华海酒店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茂名熹龙国际大酒店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2019年</w:t>
            </w:r>
            <w:r>
              <w:rPr>
                <w:rFonts w:asciiTheme="minorEastAsia" w:hAnsiTheme="minorEastAsia" w:eastAsiaTheme="minorEastAsia"/>
              </w:rPr>
              <w:t>6</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阳江华邑酒店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21</w:t>
            </w:r>
            <w:r>
              <w:rPr>
                <w:rFonts w:hint="eastAsia" w:asciiTheme="minorEastAsia" w:hAnsiTheme="minorEastAsia" w:eastAsiaTheme="minorEastAsia"/>
              </w:rPr>
              <w:t>年</w:t>
            </w:r>
            <w:r>
              <w:rPr>
                <w:rFonts w:asciiTheme="minorEastAsia" w:hAnsiTheme="minorEastAsia" w:eastAsiaTheme="minorEastAsia"/>
              </w:rPr>
              <w:t>8</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9</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湛江民大喜来登酒店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21</w:t>
            </w:r>
            <w:r>
              <w:rPr>
                <w:rFonts w:hint="eastAsia" w:asciiTheme="minorEastAsia" w:hAnsiTheme="minorEastAsia" w:eastAsiaTheme="minorEastAsia"/>
              </w:rPr>
              <w:t>年</w:t>
            </w:r>
            <w:r>
              <w:rPr>
                <w:rFonts w:asciiTheme="minorEastAsia" w:hAnsiTheme="minorEastAsia" w:eastAsiaTheme="minorEastAsia"/>
              </w:rPr>
              <w:t>8</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10</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深圳香格里拉酒店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21</w:t>
            </w:r>
            <w:r>
              <w:rPr>
                <w:rFonts w:hint="eastAsia" w:asciiTheme="minorEastAsia" w:hAnsiTheme="minorEastAsia" w:eastAsiaTheme="minorEastAsia"/>
              </w:rPr>
              <w:t>年</w:t>
            </w:r>
            <w:r>
              <w:rPr>
                <w:rFonts w:asciiTheme="minorEastAsia" w:hAnsiTheme="minorEastAsia" w:eastAsiaTheme="minorEastAsia"/>
              </w:rPr>
              <w:t>8</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11</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深圳拾號餐饮</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21</w:t>
            </w:r>
            <w:r>
              <w:rPr>
                <w:rFonts w:hint="eastAsia" w:asciiTheme="minorEastAsia" w:hAnsiTheme="minorEastAsia" w:eastAsiaTheme="minorEastAsia"/>
              </w:rPr>
              <w:t>年</w:t>
            </w:r>
            <w:r>
              <w:rPr>
                <w:rFonts w:asciiTheme="minorEastAsia" w:hAnsiTheme="minorEastAsia" w:eastAsiaTheme="minorEastAsia"/>
              </w:rPr>
              <w:t>9</w:t>
            </w:r>
            <w:r>
              <w:rPr>
                <w:rFonts w:hint="eastAsia" w:asciiTheme="minorEastAsia" w:hAnsiTheme="minorEastAsia" w:eastAsiaTheme="minorEastAsia"/>
              </w:rPr>
              <w:t>月</w:t>
            </w:r>
          </w:p>
        </w:tc>
      </w:tr>
    </w:tbl>
    <w:p>
      <w:pPr>
        <w:spacing w:before="312" w:beforeLines="100"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2.信息化条件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信息化教学的必要条件:数字化的软、硬件环境是实现信息化教学的必要条件。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信息化教学的资源质量:多媒体课件是目前信息技术支持教育教学的主要形式。此外还有文字、图片、动画、视频等素材等。</w:t>
      </w:r>
    </w:p>
    <w:p>
      <w:pPr>
        <w:adjustRightInd w:val="0"/>
        <w:spacing w:line="360" w:lineRule="auto"/>
        <w:ind w:firstLine="480" w:firstLineChars="200"/>
        <w:outlineLvl w:val="2"/>
        <w:rPr>
          <w:rFonts w:ascii="黑体" w:hAnsi="黑体" w:eastAsia="黑体"/>
          <w:sz w:val="28"/>
          <w:szCs w:val="28"/>
        </w:rPr>
      </w:pPr>
      <w:r>
        <w:rPr>
          <w:rFonts w:hint="eastAsia" w:ascii="黑体" w:hAnsi="黑体" w:eastAsia="黑体"/>
          <w:sz w:val="24"/>
        </w:rPr>
        <w:t>（三）教学资源</w:t>
      </w:r>
      <w:r>
        <w:rPr>
          <w:rFonts w:hint="eastAsia" w:ascii="黑体" w:hAnsi="黑体" w:eastAsia="黑体"/>
          <w:sz w:val="28"/>
          <w:szCs w:val="28"/>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本专业结合课程特色，多渠道开展校企合作、工学结合的教材开发，鼓励教师编写课程讲义、开发相关配套课程资源，并在此基础上形成数字化课程同步网站。以课程为单位建立并及时更新课程教学资源库，课程教学资源库内容应包括:教学设计文件、电子教材、教学课件、典型案例、政策法规、音视频文件、动画库、习题与试题库、职业资格考试信息、专业图片库等；配备与专业教学相关的图书资料、电子杂志等相关的学习辅助性资源，建立校园网络信息系统，保证教师与学生可通过校园网络即时获取上述各项教学资源并可通过网络利用教学及实训软件开展备课、学习、实训等教学活动。 </w:t>
      </w:r>
    </w:p>
    <w:p>
      <w:pPr>
        <w:adjustRightInd w:val="0"/>
        <w:spacing w:line="360" w:lineRule="auto"/>
        <w:ind w:firstLine="480" w:firstLineChars="200"/>
        <w:outlineLvl w:val="2"/>
        <w:rPr>
          <w:rFonts w:ascii="黑体" w:hAnsi="黑体" w:eastAsia="黑体"/>
          <w:sz w:val="28"/>
          <w:szCs w:val="28"/>
        </w:rPr>
      </w:pPr>
      <w:r>
        <w:rPr>
          <w:rFonts w:hint="eastAsia" w:ascii="黑体" w:hAnsi="黑体" w:eastAsia="黑体"/>
          <w:sz w:val="24"/>
        </w:rPr>
        <w:t>（四）教学方法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专业以提高教育教学质量为目标，以满足学生成才成长的多元需求为出发点，以学生为中心，重视现代教育教学技术的应用，结合课程特色，进行合作学习、案例教学、情境教学、项目教学、任务驱动、行动导向等多种形式的“做中学、做中教”教学模式，发挥兼职教师在课程教学中的积极作用，充分调动学生的学习积极性和教学互动的参与度。</w:t>
      </w:r>
    </w:p>
    <w:p>
      <w:pPr>
        <w:adjustRightInd w:val="0"/>
        <w:spacing w:line="360" w:lineRule="auto"/>
        <w:ind w:firstLine="480" w:firstLineChars="200"/>
        <w:outlineLvl w:val="2"/>
        <w:rPr>
          <w:rFonts w:ascii="黑体" w:hAnsi="黑体" w:eastAsia="黑体"/>
          <w:sz w:val="28"/>
          <w:szCs w:val="28"/>
        </w:rPr>
      </w:pPr>
      <w:r>
        <w:rPr>
          <w:rFonts w:hint="eastAsia" w:ascii="黑体" w:hAnsi="黑体" w:eastAsia="黑体"/>
          <w:sz w:val="24"/>
        </w:rPr>
        <w:t>（五）学习评价</w:t>
      </w:r>
      <w:r>
        <w:rPr>
          <w:rFonts w:hint="eastAsia" w:ascii="黑体" w:hAnsi="黑体" w:eastAsia="黑体"/>
          <w:sz w:val="28"/>
          <w:szCs w:val="28"/>
        </w:rPr>
        <w:t xml:space="preserve"> </w:t>
      </w:r>
    </w:p>
    <w:p>
      <w:pPr>
        <w:widowControl/>
        <w:shd w:val="clear" w:color="auto" w:fill="FFFFFF"/>
        <w:spacing w:line="360" w:lineRule="auto"/>
        <w:ind w:firstLine="42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考核内容应体现：能力本位的原则、实践性原则、实用性原则、针对性原则及可持续性原则。</w:t>
      </w:r>
    </w:p>
    <w:p>
      <w:pPr>
        <w:widowControl/>
        <w:shd w:val="clear" w:color="auto" w:fill="FFFFFF"/>
        <w:spacing w:line="360" w:lineRule="auto"/>
        <w:ind w:firstLine="42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考核方式应体现：“过程考核，综合评价，以人为本”，强调以人为本的整体性评价观。</w:t>
      </w:r>
    </w:p>
    <w:p>
      <w:pPr>
        <w:widowControl/>
        <w:shd w:val="clear" w:color="auto" w:fill="FFFFFF"/>
        <w:spacing w:line="360" w:lineRule="auto"/>
        <w:ind w:firstLine="42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评价主体应体现：从过去校内评价、学校教师单一评价方式，转向企业评价、社会评价开放式评价。公共文化基础课采用以学生的学习态度、思想品德，以及学生对知识的理解和掌握程度等进行综合评定。要注重平时学习过程的评定。专业基础与专业技术课采用现场口试、实训报告、专题调研报告、实习总结、考勤情况、劳动态度和单位评价等综合评定成绩的考核方法。技能部分必须动手操作，现场考核，由教师、行业专家和能工巧匠参与。形成“过程＋目标”的考核评价方法。两项考核中任何一项不及格，均判为本门课程不及格。</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在学校规定的修业年限内，累积5门以上课程不合格，不予毕业。 </w:t>
      </w:r>
    </w:p>
    <w:p>
      <w:pPr>
        <w:adjustRightInd w:val="0"/>
        <w:spacing w:line="360" w:lineRule="auto"/>
        <w:ind w:firstLine="480" w:firstLineChars="200"/>
        <w:outlineLvl w:val="2"/>
        <w:rPr>
          <w:rFonts w:ascii="黑体" w:eastAsia="黑体"/>
          <w:b/>
          <w:bCs/>
          <w:sz w:val="24"/>
        </w:rPr>
      </w:pPr>
      <w:r>
        <w:rPr>
          <w:rFonts w:hint="eastAsia" w:ascii="黑体" w:hAnsi="黑体" w:eastAsia="黑体"/>
          <w:sz w:val="24"/>
        </w:rPr>
        <w:t>（六）质量管理</w:t>
      </w:r>
      <w:r>
        <w:rPr>
          <w:rFonts w:hint="eastAsia" w:ascii="黑体" w:hAnsi="黑体" w:eastAsia="黑体"/>
          <w:sz w:val="28"/>
          <w:szCs w:val="28"/>
        </w:rPr>
        <w:t xml:space="preserve"> </w:t>
      </w:r>
      <w:r>
        <w:rPr>
          <w:rFonts w:hint="eastAsia" w:ascii="黑体" w:eastAsia="黑体"/>
          <w:b/>
          <w:bCs/>
          <w:sz w:val="24"/>
        </w:rPr>
        <w:t xml:space="preserve">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1.教学运行组织管理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学校教学实行院(校)系两级管理。由一名副院(校)长分管教学工作，教务处负责完成日常教学管理工作，负责制定教学管理规章制度，开展教学评估和检查，保证教学运行。系部负责日常教学的实施和管理，组织专业教师和教研室完成教学任务和教学建设。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成立以系主任为负责人，由教学主任、专业带头人、骨干教师和企业领导及专家组成的校企合作专业建设委员会，负责指导专业的建设、教学制度的制定和审核，并监控教学过程，评价人才培养质量；系部负责日常教学的管理和监控；合作企业负责学生顶岗实习、现场教学的管理和监控。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2.教学质量监控评价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在日常教学管理中形成教学检查制度、教学质量分析制度、教学信息反馈制度和“学生评教、教师评学、同行评课、专家评质、社会评人”的五评制度。发挥专业建设委员会的积极作用，校企合作制定人才培养方案、工学结合课程标准和各教学环节工作规范性文件，使教学管理和质量监控有章可循、有据可依。建立企业参与的校系两级教学质量监控与评价体系。根据顶岗实习情况，与企业领导和指导教师共同制定和执行顶岗实习管理和考核体系，加强对人才培养过程的管理；为保证顶岗实习的质量，制定顶岗实习管理制度、考核体系、兼职教师管理制度，完善校企双方质量保障制度。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3.教学管理制度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建立与工学结合相适应的校企双方共同参与管理的制度，形成校企共管制度化、规范化、可操作的管理办法。在实施人才培养计划和教学管理的过程中，针对校企联合育人出现的问题，根据企业、学生的要求，实施人才培养的柔性管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（1）企业的订单培养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根据就业单位的要求，对订单班，可以根据企业的要求，校企共同制定培养方案，灵活调整教学计划，设置适合企业所需人才规格要求的课程，并改革相应课程的教学内容、教学方法、教学模式和考核方法。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（2）实行弹性学制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允许学生由于服兵役、进入社会实践等原因暂时中断学习，学分制的建立体现了修业年限的弹性、课程的自选性。学生学分的修业年限最长可延长至5年。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（3）对于顶岗实习的柔性管理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学生顶岗实习的管理按照学院(校)、系学生顶岗实习管理办法执行，由企业兼职教师与学校教师按照毕业实践课程标准</w:t>
      </w:r>
      <w:r>
        <w:rPr>
          <w:rFonts w:hint="eastAsia"/>
        </w:rPr>
        <w:t>，</w:t>
      </w:r>
      <w:r>
        <w:rPr>
          <w:rFonts w:hint="eastAsia" w:asciiTheme="minorEastAsia" w:hAnsiTheme="minorEastAsia" w:eastAsiaTheme="minorEastAsia"/>
          <w:szCs w:val="21"/>
        </w:rPr>
        <w:t xml:space="preserve">在学校和企业共同管理、指导、考核下取得相应学分。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顶岗实习单位可灵活选择。在毕业实践环节，学生既可前往就业单位实习，也可去专业安排的校外基地进行实习，或自行联系实习企业。只要企业符合专业规定的实习教学条件要求，都可以去实习。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因就业单位的实际需求，针对部分学生提前前往就业单位实习或从事非本专业实习内容的，实行“学分替换”制度，学生在企业参加与专业相关或不相关的岗前培训，并考核合格，经系主任批准，可用企业考核成绩替换相应专业课程学分。 </w:t>
      </w:r>
    </w:p>
    <w:p>
      <w:pPr>
        <w:spacing w:line="360" w:lineRule="auto"/>
        <w:ind w:firstLine="560" w:firstLineChars="200"/>
        <w:outlineLvl w:val="1"/>
        <w:rPr>
          <w:rFonts w:ascii="宋体" w:hAnsi="宋体"/>
          <w:szCs w:val="21"/>
        </w:rPr>
      </w:pPr>
      <w:r>
        <w:rPr>
          <w:rFonts w:hint="eastAsia" w:eastAsia="黑体"/>
          <w:sz w:val="28"/>
          <w:szCs w:val="28"/>
        </w:rPr>
        <w:t>九、</w:t>
      </w:r>
      <w:r>
        <w:rPr>
          <w:rFonts w:eastAsia="黑体"/>
          <w:sz w:val="28"/>
          <w:szCs w:val="28"/>
        </w:rPr>
        <w:t>毕业要求</w:t>
      </w:r>
    </w:p>
    <w:p>
      <w:pPr>
        <w:spacing w:line="360" w:lineRule="auto"/>
        <w:ind w:firstLine="420" w:firstLineChars="200"/>
        <w:rPr>
          <w:rFonts w:ascii="宋体" w:hAnsi="宋体"/>
          <w:szCs w:val="21"/>
        </w:rPr>
      </w:pPr>
      <w:r>
        <w:rPr>
          <w:rFonts w:hint="eastAsia" w:ascii="宋体" w:hAnsi="宋体"/>
          <w:szCs w:val="21"/>
        </w:rPr>
        <w:t xml:space="preserve">本专业的学生必须修满130分才能获得毕业资格。 </w:t>
      </w:r>
    </w:p>
    <w:p>
      <w:pPr>
        <w:spacing w:line="360" w:lineRule="auto"/>
        <w:ind w:firstLine="420" w:firstLineChars="200"/>
        <w:rPr>
          <w:rFonts w:ascii="宋体" w:hAnsi="宋体"/>
          <w:b/>
          <w:bCs/>
          <w:szCs w:val="21"/>
        </w:rPr>
      </w:pPr>
      <w:r>
        <w:rPr>
          <w:rFonts w:hint="eastAsia" w:ascii="宋体" w:hAnsi="宋体"/>
          <w:szCs w:val="21"/>
        </w:rPr>
        <w:t xml:space="preserve">烹饪工艺与营养专业学生毕业前推荐考取表十职业资格证书中的一项: </w:t>
      </w:r>
    </w:p>
    <w:p>
      <w:pPr>
        <w:jc w:val="center"/>
        <w:rPr>
          <w:rFonts w:ascii="宋体" w:hAnsi="宋体"/>
        </w:rPr>
      </w:pPr>
      <w:r>
        <w:rPr>
          <w:rFonts w:hint="eastAsia" w:ascii="宋体" w:hAnsi="宋体"/>
        </w:rPr>
        <w:t>表十 烹饪工艺与营养专业相关技能证书一览表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440"/>
        <w:gridCol w:w="147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cs="宋体"/>
                <w:b/>
                <w:szCs w:val="21"/>
              </w:rPr>
            </w:pPr>
            <w:r>
              <w:rPr>
                <w:rFonts w:hint="eastAsia" w:ascii="宋体" w:hAnsi="宋体" w:cs="宋体"/>
                <w:b/>
                <w:szCs w:val="21"/>
              </w:rPr>
              <w:t>证书名称</w:t>
            </w:r>
          </w:p>
        </w:tc>
        <w:tc>
          <w:tcPr>
            <w:tcW w:w="1440" w:type="dxa"/>
            <w:vAlign w:val="center"/>
          </w:tcPr>
          <w:p>
            <w:pPr>
              <w:jc w:val="center"/>
              <w:rPr>
                <w:rFonts w:ascii="宋体" w:hAnsi="宋体" w:cs="宋体"/>
                <w:b/>
                <w:szCs w:val="21"/>
              </w:rPr>
            </w:pPr>
            <w:r>
              <w:rPr>
                <w:rFonts w:hint="eastAsia" w:ascii="宋体" w:hAnsi="宋体" w:cs="宋体"/>
                <w:b/>
                <w:szCs w:val="21"/>
              </w:rPr>
              <w:t>报名时间</w:t>
            </w:r>
          </w:p>
        </w:tc>
        <w:tc>
          <w:tcPr>
            <w:tcW w:w="1475" w:type="dxa"/>
            <w:vAlign w:val="center"/>
          </w:tcPr>
          <w:p>
            <w:pPr>
              <w:jc w:val="center"/>
              <w:rPr>
                <w:rFonts w:ascii="宋体" w:hAnsi="宋体" w:cs="宋体"/>
                <w:b/>
                <w:szCs w:val="21"/>
              </w:rPr>
            </w:pPr>
            <w:r>
              <w:rPr>
                <w:rFonts w:hint="eastAsia" w:ascii="宋体" w:hAnsi="宋体" w:cs="宋体"/>
                <w:b/>
                <w:szCs w:val="21"/>
              </w:rPr>
              <w:t>考证时间</w:t>
            </w:r>
          </w:p>
        </w:tc>
        <w:tc>
          <w:tcPr>
            <w:tcW w:w="3311" w:type="dxa"/>
            <w:vAlign w:val="center"/>
          </w:tcPr>
          <w:p>
            <w:pPr>
              <w:jc w:val="center"/>
              <w:rPr>
                <w:rFonts w:ascii="宋体" w:hAnsi="宋体" w:cs="宋体"/>
                <w:b/>
                <w:szCs w:val="21"/>
              </w:rPr>
            </w:pPr>
            <w:r>
              <w:rPr>
                <w:rFonts w:hint="eastAsia" w:ascii="宋体" w:hAnsi="宋体" w:cs="宋体"/>
                <w:b/>
                <w:szCs w:val="21"/>
              </w:rPr>
              <w:t>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cs="宋体"/>
                <w:szCs w:val="21"/>
              </w:rPr>
            </w:pPr>
            <w:r>
              <w:rPr>
                <w:rFonts w:hint="eastAsia" w:ascii="宋体" w:hAnsi="宋体" w:cs="宋体"/>
                <w:szCs w:val="21"/>
              </w:rPr>
              <w:t>全国计算机等级考试</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每年6、12月</w:t>
            </w:r>
          </w:p>
        </w:tc>
        <w:tc>
          <w:tcPr>
            <w:tcW w:w="3311" w:type="dxa"/>
            <w:vAlign w:val="center"/>
          </w:tcPr>
          <w:p>
            <w:pPr>
              <w:jc w:val="center"/>
              <w:rPr>
                <w:rFonts w:ascii="宋体" w:hAnsi="宋体" w:cs="宋体"/>
                <w:szCs w:val="21"/>
              </w:rPr>
            </w:pPr>
            <w:r>
              <w:rPr>
                <w:rFonts w:hint="eastAsia" w:ascii="宋体" w:hAnsi="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cs="宋体"/>
                <w:szCs w:val="21"/>
              </w:rPr>
            </w:pPr>
            <w:r>
              <w:rPr>
                <w:rFonts w:hint="eastAsia" w:ascii="宋体" w:hAnsi="宋体" w:cs="宋体"/>
                <w:szCs w:val="21"/>
              </w:rPr>
              <w:t>全国大学英语四、六级考试(CET)</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每年6、12月</w:t>
            </w:r>
          </w:p>
        </w:tc>
        <w:tc>
          <w:tcPr>
            <w:tcW w:w="3311" w:type="dxa"/>
            <w:vAlign w:val="center"/>
          </w:tcPr>
          <w:p>
            <w:pPr>
              <w:jc w:val="center"/>
              <w:rPr>
                <w:rFonts w:ascii="宋体" w:hAnsi="宋体" w:cs="宋体"/>
                <w:szCs w:val="21"/>
              </w:rPr>
            </w:pPr>
            <w:r>
              <w:rPr>
                <w:rFonts w:hint="eastAsia" w:ascii="宋体" w:hAnsi="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cs="宋体"/>
                <w:szCs w:val="21"/>
              </w:rPr>
            </w:pPr>
            <w:r>
              <w:rPr>
                <w:rFonts w:hint="eastAsia" w:ascii="宋体" w:hAnsi="宋体" w:cs="宋体"/>
                <w:szCs w:val="21"/>
              </w:rPr>
              <w:t>中式烹调师</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时间待定</w:t>
            </w:r>
          </w:p>
        </w:tc>
        <w:tc>
          <w:tcPr>
            <w:tcW w:w="3311" w:type="dxa"/>
            <w:vAlign w:val="center"/>
          </w:tcPr>
          <w:p>
            <w:pPr>
              <w:jc w:val="center"/>
              <w:rPr>
                <w:rFonts w:ascii="宋体" w:hAnsi="宋体" w:cs="宋体"/>
                <w:szCs w:val="21"/>
              </w:rPr>
            </w:pPr>
            <w:r>
              <w:rPr>
                <w:rFonts w:hint="eastAsia" w:ascii="宋体" w:hAnsi="宋体" w:cs="宋体"/>
                <w:szCs w:val="21"/>
              </w:rPr>
              <w:t>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cs="宋体"/>
                <w:szCs w:val="21"/>
              </w:rPr>
            </w:pPr>
            <w:r>
              <w:rPr>
                <w:rFonts w:hint="eastAsia" w:ascii="宋体" w:hAnsi="宋体" w:cs="宋体"/>
                <w:szCs w:val="21"/>
              </w:rPr>
              <w:t>健康管理师</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时间待定</w:t>
            </w:r>
          </w:p>
        </w:tc>
        <w:tc>
          <w:tcPr>
            <w:tcW w:w="3311" w:type="dxa"/>
            <w:vAlign w:val="center"/>
          </w:tcPr>
          <w:p>
            <w:pPr>
              <w:jc w:val="center"/>
              <w:rPr>
                <w:rFonts w:ascii="宋体" w:hAnsi="宋体" w:cs="宋体"/>
                <w:szCs w:val="21"/>
              </w:rPr>
            </w:pPr>
            <w:r>
              <w:rPr>
                <w:rFonts w:hint="eastAsia" w:ascii="宋体" w:hAnsi="宋体" w:cs="宋体"/>
                <w:szCs w:val="21"/>
              </w:rPr>
              <w:t>人力资源和社会保障部</w:t>
            </w:r>
          </w:p>
        </w:tc>
      </w:tr>
    </w:tbl>
    <w:p>
      <w:pPr>
        <w:pStyle w:val="55"/>
        <w:spacing w:before="156" w:beforeLines="50"/>
        <w:ind w:firstLine="420"/>
        <w:rPr>
          <w:rFonts w:asciiTheme="minorEastAsia" w:hAnsiTheme="minorEastAsia" w:eastAsiaTheme="minorEastAsia"/>
          <w:szCs w:val="21"/>
        </w:rPr>
      </w:pPr>
      <w:r>
        <w:rPr>
          <w:rFonts w:hint="eastAsia" w:ascii="宋体" w:eastAsia="宋体"/>
          <w:sz w:val="21"/>
          <w:szCs w:val="21"/>
        </w:rPr>
        <w:t>备注：要求根据本人规划的就业方向考取上述职业资格证书之一</w:t>
      </w:r>
    </w:p>
    <w:p>
      <w:pPr>
        <w:spacing w:line="360" w:lineRule="auto"/>
        <w:ind w:firstLine="560" w:firstLineChars="200"/>
        <w:rPr>
          <w:rFonts w:ascii="黑体" w:hAnsi="黑体" w:eastAsia="黑体"/>
          <w:b/>
          <w:sz w:val="30"/>
          <w:szCs w:val="30"/>
        </w:rPr>
      </w:pPr>
      <w:r>
        <w:rPr>
          <w:rFonts w:hint="eastAsia" w:eastAsia="黑体"/>
          <w:sz w:val="28"/>
          <w:szCs w:val="28"/>
        </w:rPr>
        <w:t>十、继续专业学习和深造建议</w:t>
      </w:r>
      <w:r>
        <w:rPr>
          <w:rFonts w:hint="eastAsia" w:ascii="黑体" w:hAnsi="黑体" w:eastAsia="黑体"/>
          <w:b/>
          <w:sz w:val="30"/>
          <w:szCs w:val="30"/>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学生继续专业学习深造的途径有：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1.参加相关专业的高等自学考试(以下简称高自考)的学习高自考的学习主要采取业余时间自主学习的方式，可以于在校期间完成。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2.参加专升本考试升至本科院校继续学习深造或参加函授、远程教育本科学习。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3.可考取专业相关高级工、技师技能证书。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4.可通过有资质的中外办学合作项目或者个人通过考试，申请出国深造或出国进修和培训。 </w:t>
      </w:r>
    </w:p>
    <w:p>
      <w:pPr>
        <w:spacing w:line="360" w:lineRule="auto"/>
        <w:ind w:firstLine="480" w:firstLineChars="200"/>
        <w:outlineLvl w:val="1"/>
        <w:rPr>
          <w:rFonts w:eastAsia="黑体"/>
          <w:sz w:val="28"/>
          <w:szCs w:val="28"/>
        </w:rPr>
      </w:pPr>
      <w:r>
        <w:rPr>
          <w:rFonts w:hint="eastAsia"/>
          <w:sz w:val="24"/>
        </w:rPr>
        <w:t xml:space="preserve"> </w:t>
      </w:r>
      <w:r>
        <w:rPr>
          <w:rFonts w:hint="eastAsia" w:eastAsia="黑体"/>
          <w:sz w:val="28"/>
          <w:szCs w:val="28"/>
        </w:rPr>
        <w:t>十一、学分转换规定</w:t>
      </w:r>
    </w:p>
    <w:p>
      <w:pPr>
        <w:spacing w:line="360" w:lineRule="auto"/>
        <w:ind w:firstLine="420" w:firstLineChars="200"/>
        <w:rPr>
          <w:rFonts w:ascii="宋体" w:hAnsi="宋体" w:cs="微软雅黑"/>
          <w:szCs w:val="21"/>
        </w:rPr>
      </w:pPr>
      <w:r>
        <w:rPr>
          <w:rFonts w:hint="eastAsia" w:ascii="宋体" w:hAnsi="宋体" w:cs="微软雅黑"/>
          <w:szCs w:val="21"/>
        </w:rPr>
        <w:t>执行学校有关文件规定。</w:t>
      </w:r>
    </w:p>
    <w:sectPr>
      <w:footerReference r:id="rId5"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6"/>
        <w:tab w:val="clear" w:pos="4153"/>
      </w:tabs>
    </w:pPr>
    <w:r>
      <w:pict>
        <v:shape id="_x0000_s2051" o:spid="_x0000_s2051" o:spt="202" type="#_x0000_t202" style="position:absolute;left:0pt;margin-left:224.5pt;margin-top:0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3MmRmOGVhNmEwZjliMzgxN2RhYzgzMGZjNDFhYmIifQ=="/>
  </w:docVars>
  <w:rsids>
    <w:rsidRoot w:val="00A7355C"/>
    <w:rsid w:val="000049F5"/>
    <w:rsid w:val="000140B7"/>
    <w:rsid w:val="00017330"/>
    <w:rsid w:val="00017584"/>
    <w:rsid w:val="00022B31"/>
    <w:rsid w:val="00025594"/>
    <w:rsid w:val="00032174"/>
    <w:rsid w:val="0003437C"/>
    <w:rsid w:val="00034FFE"/>
    <w:rsid w:val="000911DF"/>
    <w:rsid w:val="000B6FA5"/>
    <w:rsid w:val="000F716D"/>
    <w:rsid w:val="001041E2"/>
    <w:rsid w:val="001121A1"/>
    <w:rsid w:val="00122830"/>
    <w:rsid w:val="0012291C"/>
    <w:rsid w:val="00130E53"/>
    <w:rsid w:val="001370C3"/>
    <w:rsid w:val="001765B9"/>
    <w:rsid w:val="001D0203"/>
    <w:rsid w:val="001D2031"/>
    <w:rsid w:val="001D214D"/>
    <w:rsid w:val="001D2806"/>
    <w:rsid w:val="001E470A"/>
    <w:rsid w:val="00233D7E"/>
    <w:rsid w:val="0024631E"/>
    <w:rsid w:val="0028037F"/>
    <w:rsid w:val="00294427"/>
    <w:rsid w:val="002C0A84"/>
    <w:rsid w:val="002D4077"/>
    <w:rsid w:val="003417B7"/>
    <w:rsid w:val="00356B26"/>
    <w:rsid w:val="00372F90"/>
    <w:rsid w:val="00381553"/>
    <w:rsid w:val="00382B2B"/>
    <w:rsid w:val="003A1ABA"/>
    <w:rsid w:val="003A44C8"/>
    <w:rsid w:val="003B27C2"/>
    <w:rsid w:val="003D0199"/>
    <w:rsid w:val="003D108D"/>
    <w:rsid w:val="00473659"/>
    <w:rsid w:val="004827F6"/>
    <w:rsid w:val="00497C40"/>
    <w:rsid w:val="004A3E98"/>
    <w:rsid w:val="004E689B"/>
    <w:rsid w:val="004E70F5"/>
    <w:rsid w:val="004F733E"/>
    <w:rsid w:val="004F7FCD"/>
    <w:rsid w:val="00523038"/>
    <w:rsid w:val="00530366"/>
    <w:rsid w:val="005469FB"/>
    <w:rsid w:val="0055265B"/>
    <w:rsid w:val="00597368"/>
    <w:rsid w:val="005A39E2"/>
    <w:rsid w:val="005B1416"/>
    <w:rsid w:val="005F3433"/>
    <w:rsid w:val="006226D5"/>
    <w:rsid w:val="00627A84"/>
    <w:rsid w:val="0064501F"/>
    <w:rsid w:val="00650DB5"/>
    <w:rsid w:val="00656657"/>
    <w:rsid w:val="00667FAA"/>
    <w:rsid w:val="00675F1F"/>
    <w:rsid w:val="00684BE4"/>
    <w:rsid w:val="006C5CD1"/>
    <w:rsid w:val="006E0383"/>
    <w:rsid w:val="006F0594"/>
    <w:rsid w:val="006F0675"/>
    <w:rsid w:val="007243C1"/>
    <w:rsid w:val="00743742"/>
    <w:rsid w:val="00763199"/>
    <w:rsid w:val="007660E2"/>
    <w:rsid w:val="0076665F"/>
    <w:rsid w:val="007951EB"/>
    <w:rsid w:val="007B1468"/>
    <w:rsid w:val="007C56EE"/>
    <w:rsid w:val="007D027E"/>
    <w:rsid w:val="007E53A5"/>
    <w:rsid w:val="008005D9"/>
    <w:rsid w:val="00815F05"/>
    <w:rsid w:val="00822D76"/>
    <w:rsid w:val="00823397"/>
    <w:rsid w:val="00833EF8"/>
    <w:rsid w:val="008428B4"/>
    <w:rsid w:val="008A4064"/>
    <w:rsid w:val="008A6A48"/>
    <w:rsid w:val="008A715C"/>
    <w:rsid w:val="008B004D"/>
    <w:rsid w:val="008C328F"/>
    <w:rsid w:val="008D1D5A"/>
    <w:rsid w:val="008D3D9C"/>
    <w:rsid w:val="0090686A"/>
    <w:rsid w:val="00921821"/>
    <w:rsid w:val="00922766"/>
    <w:rsid w:val="00933DD9"/>
    <w:rsid w:val="0097280E"/>
    <w:rsid w:val="00975B74"/>
    <w:rsid w:val="0097788D"/>
    <w:rsid w:val="00985CB5"/>
    <w:rsid w:val="0099166E"/>
    <w:rsid w:val="009A0518"/>
    <w:rsid w:val="009C1D6E"/>
    <w:rsid w:val="009E0D02"/>
    <w:rsid w:val="009F4DB3"/>
    <w:rsid w:val="009F6863"/>
    <w:rsid w:val="009F7550"/>
    <w:rsid w:val="009F7C73"/>
    <w:rsid w:val="00A14341"/>
    <w:rsid w:val="00A541E6"/>
    <w:rsid w:val="00A63646"/>
    <w:rsid w:val="00A666D0"/>
    <w:rsid w:val="00A713FD"/>
    <w:rsid w:val="00A7355C"/>
    <w:rsid w:val="00A74E6E"/>
    <w:rsid w:val="00A94C6A"/>
    <w:rsid w:val="00AE09CF"/>
    <w:rsid w:val="00B07248"/>
    <w:rsid w:val="00B237D4"/>
    <w:rsid w:val="00B342F3"/>
    <w:rsid w:val="00B66E21"/>
    <w:rsid w:val="00B802ED"/>
    <w:rsid w:val="00B8128C"/>
    <w:rsid w:val="00BD7F9D"/>
    <w:rsid w:val="00BE2539"/>
    <w:rsid w:val="00BF5EF5"/>
    <w:rsid w:val="00C00259"/>
    <w:rsid w:val="00C15EA4"/>
    <w:rsid w:val="00C1780F"/>
    <w:rsid w:val="00C2684D"/>
    <w:rsid w:val="00C4409C"/>
    <w:rsid w:val="00C44BF1"/>
    <w:rsid w:val="00CB56B1"/>
    <w:rsid w:val="00CB7808"/>
    <w:rsid w:val="00CC33D7"/>
    <w:rsid w:val="00CD7A8D"/>
    <w:rsid w:val="00CE25C8"/>
    <w:rsid w:val="00D64B84"/>
    <w:rsid w:val="00D85727"/>
    <w:rsid w:val="00DC1746"/>
    <w:rsid w:val="00DC4534"/>
    <w:rsid w:val="00DD7E82"/>
    <w:rsid w:val="00DF6FC9"/>
    <w:rsid w:val="00E15DE2"/>
    <w:rsid w:val="00E17F28"/>
    <w:rsid w:val="00E23D61"/>
    <w:rsid w:val="00E2660C"/>
    <w:rsid w:val="00E323B6"/>
    <w:rsid w:val="00E5749E"/>
    <w:rsid w:val="00EA43CD"/>
    <w:rsid w:val="00F20CF1"/>
    <w:rsid w:val="00F30A78"/>
    <w:rsid w:val="00F36170"/>
    <w:rsid w:val="00F66B86"/>
    <w:rsid w:val="00F82D36"/>
    <w:rsid w:val="00F83D5E"/>
    <w:rsid w:val="00F8461C"/>
    <w:rsid w:val="00F90F2D"/>
    <w:rsid w:val="00F93BB7"/>
    <w:rsid w:val="00FE6DCF"/>
    <w:rsid w:val="00FF5C1A"/>
    <w:rsid w:val="02123B2B"/>
    <w:rsid w:val="02B0018B"/>
    <w:rsid w:val="06425375"/>
    <w:rsid w:val="06B50E2C"/>
    <w:rsid w:val="087134AA"/>
    <w:rsid w:val="0C761993"/>
    <w:rsid w:val="0C7B2079"/>
    <w:rsid w:val="0C875D86"/>
    <w:rsid w:val="0E211F26"/>
    <w:rsid w:val="0E401246"/>
    <w:rsid w:val="12D01301"/>
    <w:rsid w:val="132E2636"/>
    <w:rsid w:val="137B2B83"/>
    <w:rsid w:val="13E86E9C"/>
    <w:rsid w:val="146C7E3B"/>
    <w:rsid w:val="156D53B0"/>
    <w:rsid w:val="16E73662"/>
    <w:rsid w:val="182A3528"/>
    <w:rsid w:val="186F265F"/>
    <w:rsid w:val="19735DA9"/>
    <w:rsid w:val="1AA47990"/>
    <w:rsid w:val="1BD86BFD"/>
    <w:rsid w:val="1D602EB8"/>
    <w:rsid w:val="1EB8747B"/>
    <w:rsid w:val="20CD0A55"/>
    <w:rsid w:val="2112702F"/>
    <w:rsid w:val="21C70C2C"/>
    <w:rsid w:val="247418E7"/>
    <w:rsid w:val="25541948"/>
    <w:rsid w:val="26681D40"/>
    <w:rsid w:val="27E60165"/>
    <w:rsid w:val="28D1105F"/>
    <w:rsid w:val="28E83CAB"/>
    <w:rsid w:val="292B2801"/>
    <w:rsid w:val="29D360D5"/>
    <w:rsid w:val="2CE36D15"/>
    <w:rsid w:val="2D8C7BCF"/>
    <w:rsid w:val="2DD33A99"/>
    <w:rsid w:val="2ECE2F59"/>
    <w:rsid w:val="2F992B16"/>
    <w:rsid w:val="30001878"/>
    <w:rsid w:val="30291772"/>
    <w:rsid w:val="313B486D"/>
    <w:rsid w:val="31EB5E33"/>
    <w:rsid w:val="32D57DB1"/>
    <w:rsid w:val="335B6E54"/>
    <w:rsid w:val="36F909AE"/>
    <w:rsid w:val="378B23F6"/>
    <w:rsid w:val="37C052E9"/>
    <w:rsid w:val="38105430"/>
    <w:rsid w:val="3A297DD2"/>
    <w:rsid w:val="3ABE0A4B"/>
    <w:rsid w:val="3C506CD7"/>
    <w:rsid w:val="3CBE6338"/>
    <w:rsid w:val="3D90623D"/>
    <w:rsid w:val="3E0226CF"/>
    <w:rsid w:val="3EB57785"/>
    <w:rsid w:val="3F8068EC"/>
    <w:rsid w:val="3FE452E9"/>
    <w:rsid w:val="414A49B8"/>
    <w:rsid w:val="42491667"/>
    <w:rsid w:val="4275711D"/>
    <w:rsid w:val="42801DAF"/>
    <w:rsid w:val="42897A4B"/>
    <w:rsid w:val="43C200D1"/>
    <w:rsid w:val="443B6132"/>
    <w:rsid w:val="44AC10D0"/>
    <w:rsid w:val="45457C7F"/>
    <w:rsid w:val="45A14F41"/>
    <w:rsid w:val="462937AC"/>
    <w:rsid w:val="464D6D41"/>
    <w:rsid w:val="465C0697"/>
    <w:rsid w:val="48BB245E"/>
    <w:rsid w:val="49E45E6A"/>
    <w:rsid w:val="4A393338"/>
    <w:rsid w:val="4AAA3693"/>
    <w:rsid w:val="4ABB2136"/>
    <w:rsid w:val="4B705CDC"/>
    <w:rsid w:val="4BDA086D"/>
    <w:rsid w:val="4D403F16"/>
    <w:rsid w:val="4DCE7AE5"/>
    <w:rsid w:val="4F9B04AD"/>
    <w:rsid w:val="51EB07FB"/>
    <w:rsid w:val="535B5BC6"/>
    <w:rsid w:val="54081636"/>
    <w:rsid w:val="54493E65"/>
    <w:rsid w:val="55FF4AB3"/>
    <w:rsid w:val="579A7BDF"/>
    <w:rsid w:val="57A92DE1"/>
    <w:rsid w:val="58EC0D32"/>
    <w:rsid w:val="591F47E3"/>
    <w:rsid w:val="5931247D"/>
    <w:rsid w:val="59346817"/>
    <w:rsid w:val="5A991999"/>
    <w:rsid w:val="5B820E33"/>
    <w:rsid w:val="5C3377E6"/>
    <w:rsid w:val="5C9C0D1E"/>
    <w:rsid w:val="5D8C5E7F"/>
    <w:rsid w:val="5D910662"/>
    <w:rsid w:val="5EC91EFA"/>
    <w:rsid w:val="5FD24CAE"/>
    <w:rsid w:val="62143711"/>
    <w:rsid w:val="64A165C4"/>
    <w:rsid w:val="64FF488C"/>
    <w:rsid w:val="653933CD"/>
    <w:rsid w:val="655F3D85"/>
    <w:rsid w:val="656656BD"/>
    <w:rsid w:val="65C23751"/>
    <w:rsid w:val="66806C86"/>
    <w:rsid w:val="680A3A0E"/>
    <w:rsid w:val="6838441B"/>
    <w:rsid w:val="68B95E6D"/>
    <w:rsid w:val="690D4500"/>
    <w:rsid w:val="6DCC667A"/>
    <w:rsid w:val="6E6E0D6E"/>
    <w:rsid w:val="6F8F461F"/>
    <w:rsid w:val="700E0B80"/>
    <w:rsid w:val="71047FB2"/>
    <w:rsid w:val="71113BE9"/>
    <w:rsid w:val="716B54B9"/>
    <w:rsid w:val="71C416AD"/>
    <w:rsid w:val="745E049F"/>
    <w:rsid w:val="75900BAA"/>
    <w:rsid w:val="768B59AA"/>
    <w:rsid w:val="76AC4715"/>
    <w:rsid w:val="785C6115"/>
    <w:rsid w:val="78CA6FF6"/>
    <w:rsid w:val="795966B2"/>
    <w:rsid w:val="7A4F18B8"/>
    <w:rsid w:val="7B8A0DD4"/>
    <w:rsid w:val="7D221BF7"/>
    <w:rsid w:val="7E9B0E2F"/>
    <w:rsid w:val="7EE3290C"/>
    <w:rsid w:val="7F8851BD"/>
    <w:rsid w:val="7F8C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6"/>
        <o:r id="V:Rule2" type="connector" idref="#直接箭头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qFormat/>
    <w:uiPriority w:val="0"/>
    <w:pPr>
      <w:spacing w:line="240" w:lineRule="exact"/>
    </w:pPr>
    <w:rPr>
      <w:rFonts w:asciiTheme="minorHAnsi" w:hAnsiTheme="minorHAnsi" w:cstheme="minorBidi"/>
      <w:sz w:val="24"/>
    </w:rPr>
  </w:style>
  <w:style w:type="paragraph" w:styleId="4">
    <w:name w:val="Body Text Indent"/>
    <w:basedOn w:val="1"/>
    <w:link w:val="24"/>
    <w:qFormat/>
    <w:uiPriority w:val="0"/>
    <w:pPr>
      <w:spacing w:line="360" w:lineRule="auto"/>
      <w:ind w:firstLine="480"/>
    </w:pPr>
    <w:rPr>
      <w:rFonts w:asciiTheme="minorHAnsi" w:hAnsiTheme="minorHAnsi" w:cstheme="minorBidi"/>
      <w:szCs w:val="22"/>
    </w:rPr>
  </w:style>
  <w:style w:type="paragraph" w:styleId="5">
    <w:name w:val="Plain Text"/>
    <w:basedOn w:val="1"/>
    <w:link w:val="25"/>
    <w:qFormat/>
    <w:uiPriority w:val="0"/>
    <w:rPr>
      <w:rFonts w:asciiTheme="minorHAnsi" w:hAnsiTheme="minorHAnsi" w:eastAsiaTheme="minorEastAsia" w:cstheme="minorBidi"/>
      <w:szCs w:val="22"/>
    </w:rPr>
  </w:style>
  <w:style w:type="paragraph" w:styleId="6">
    <w:name w:val="Date"/>
    <w:basedOn w:val="1"/>
    <w:next w:val="1"/>
    <w:link w:val="26"/>
    <w:qFormat/>
    <w:uiPriority w:val="0"/>
    <w:pPr>
      <w:ind w:left="100" w:leftChars="2500"/>
    </w:pPr>
  </w:style>
  <w:style w:type="paragraph" w:styleId="7">
    <w:name w:val="Body Text Indent 2"/>
    <w:basedOn w:val="1"/>
    <w:link w:val="27"/>
    <w:semiHidden/>
    <w:unhideWhenUsed/>
    <w:qFormat/>
    <w:uiPriority w:val="99"/>
    <w:pPr>
      <w:spacing w:after="120" w:line="480" w:lineRule="auto"/>
      <w:ind w:left="420" w:leftChars="200"/>
    </w:pPr>
  </w:style>
  <w:style w:type="paragraph" w:styleId="8">
    <w:name w:val="Balloon Text"/>
    <w:basedOn w:val="1"/>
    <w:link w:val="28"/>
    <w:qFormat/>
    <w:uiPriority w:val="0"/>
    <w:rPr>
      <w:sz w:val="18"/>
      <w:szCs w:val="18"/>
    </w:rPr>
  </w:style>
  <w:style w:type="paragraph" w:styleId="9">
    <w:name w:val="footer"/>
    <w:basedOn w:val="1"/>
    <w:link w:val="29"/>
    <w:qFormat/>
    <w:uiPriority w:val="0"/>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rFonts w:ascii="Calibri" w:hAnsi="Calibri" w:cstheme="minorBidi"/>
      <w:sz w:val="18"/>
      <w:szCs w:val="18"/>
    </w:rPr>
  </w:style>
  <w:style w:type="paragraph" w:styleId="11">
    <w:name w:val="Body Text 2"/>
    <w:basedOn w:val="1"/>
    <w:link w:val="31"/>
    <w:qFormat/>
    <w:uiPriority w:val="0"/>
    <w:pPr>
      <w:spacing w:line="220" w:lineRule="exact"/>
      <w:jc w:val="center"/>
    </w:pPr>
    <w:rPr>
      <w:rFonts w:asciiTheme="minorHAnsi" w:hAnsiTheme="minorHAnsi" w:cstheme="minorBidi"/>
    </w:rPr>
  </w:style>
  <w:style w:type="paragraph" w:styleId="12">
    <w:name w:val="HTML Preformatted"/>
    <w:basedOn w:val="1"/>
    <w:link w:val="3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link w:val="33"/>
    <w:qFormat/>
    <w:uiPriority w:val="0"/>
    <w:pPr>
      <w:spacing w:before="240" w:after="60"/>
      <w:jc w:val="center"/>
      <w:outlineLvl w:val="0"/>
    </w:pPr>
    <w:rPr>
      <w:rFonts w:ascii="Cambria" w:hAnsi="Cambria"/>
      <w:b/>
      <w:bCs/>
      <w:sz w:val="32"/>
      <w:szCs w:val="3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basedOn w:val="17"/>
    <w:semiHidden/>
    <w:unhideWhenUsed/>
    <w:qFormat/>
    <w:uiPriority w:val="99"/>
    <w:rPr>
      <w:color w:val="800080"/>
      <w:u w:val="single"/>
    </w:rPr>
  </w:style>
  <w:style w:type="character" w:styleId="21">
    <w:name w:val="Hyperlink"/>
    <w:qFormat/>
    <w:uiPriority w:val="99"/>
    <w:rPr>
      <w:rFonts w:cs="Times New Roman"/>
      <w:color w:val="0000FF"/>
      <w:u w:val="single"/>
    </w:rPr>
  </w:style>
  <w:style w:type="character" w:customStyle="1" w:styleId="22">
    <w:name w:val="标题 2 Char"/>
    <w:basedOn w:val="17"/>
    <w:link w:val="2"/>
    <w:qFormat/>
    <w:uiPriority w:val="0"/>
    <w:rPr>
      <w:rFonts w:ascii="Arial" w:hAnsi="Arial" w:eastAsia="黑体" w:cs="Times New Roman"/>
      <w:b/>
      <w:bCs/>
      <w:sz w:val="32"/>
      <w:szCs w:val="32"/>
    </w:rPr>
  </w:style>
  <w:style w:type="character" w:customStyle="1" w:styleId="23">
    <w:name w:val="正文文本 Char1"/>
    <w:basedOn w:val="17"/>
    <w:link w:val="3"/>
    <w:semiHidden/>
    <w:qFormat/>
    <w:uiPriority w:val="99"/>
    <w:rPr>
      <w:rFonts w:ascii="Times New Roman" w:hAnsi="Times New Roman" w:eastAsia="宋体" w:cs="Times New Roman"/>
      <w:szCs w:val="24"/>
    </w:rPr>
  </w:style>
  <w:style w:type="character" w:customStyle="1" w:styleId="24">
    <w:name w:val="正文文本缩进 Char2"/>
    <w:basedOn w:val="17"/>
    <w:link w:val="4"/>
    <w:semiHidden/>
    <w:qFormat/>
    <w:uiPriority w:val="99"/>
    <w:rPr>
      <w:rFonts w:ascii="Times New Roman" w:hAnsi="Times New Roman" w:eastAsia="宋体" w:cs="Times New Roman"/>
      <w:szCs w:val="24"/>
    </w:rPr>
  </w:style>
  <w:style w:type="character" w:customStyle="1" w:styleId="25">
    <w:name w:val="纯文本 Char1"/>
    <w:basedOn w:val="17"/>
    <w:link w:val="5"/>
    <w:semiHidden/>
    <w:qFormat/>
    <w:uiPriority w:val="99"/>
    <w:rPr>
      <w:rFonts w:ascii="宋体" w:hAnsi="Consolas" w:eastAsia="宋体" w:cs="Times New Roman"/>
      <w:szCs w:val="21"/>
    </w:rPr>
  </w:style>
  <w:style w:type="character" w:customStyle="1" w:styleId="26">
    <w:name w:val="日期 Char"/>
    <w:basedOn w:val="17"/>
    <w:link w:val="6"/>
    <w:qFormat/>
    <w:uiPriority w:val="0"/>
    <w:rPr>
      <w:rFonts w:ascii="Times New Roman" w:hAnsi="Times New Roman" w:eastAsia="宋体" w:cs="Times New Roman"/>
      <w:szCs w:val="24"/>
    </w:rPr>
  </w:style>
  <w:style w:type="character" w:customStyle="1" w:styleId="27">
    <w:name w:val="正文文本缩进 2 Char"/>
    <w:basedOn w:val="17"/>
    <w:link w:val="7"/>
    <w:semiHidden/>
    <w:qFormat/>
    <w:uiPriority w:val="99"/>
    <w:rPr>
      <w:kern w:val="2"/>
      <w:sz w:val="21"/>
      <w:szCs w:val="24"/>
    </w:rPr>
  </w:style>
  <w:style w:type="character" w:customStyle="1" w:styleId="28">
    <w:name w:val="批注框文本 Char"/>
    <w:basedOn w:val="17"/>
    <w:link w:val="8"/>
    <w:qFormat/>
    <w:uiPriority w:val="0"/>
    <w:rPr>
      <w:rFonts w:ascii="Times New Roman" w:hAnsi="Times New Roman" w:eastAsia="宋体" w:cs="Times New Roman"/>
      <w:sz w:val="18"/>
      <w:szCs w:val="18"/>
    </w:rPr>
  </w:style>
  <w:style w:type="character" w:customStyle="1" w:styleId="29">
    <w:name w:val="页脚 Char1"/>
    <w:basedOn w:val="17"/>
    <w:link w:val="9"/>
    <w:semiHidden/>
    <w:qFormat/>
    <w:uiPriority w:val="99"/>
    <w:rPr>
      <w:rFonts w:ascii="Times New Roman" w:hAnsi="Times New Roman" w:eastAsia="宋体" w:cs="Times New Roman"/>
      <w:sz w:val="18"/>
      <w:szCs w:val="18"/>
    </w:rPr>
  </w:style>
  <w:style w:type="character" w:customStyle="1" w:styleId="30">
    <w:name w:val="页眉 Char1"/>
    <w:basedOn w:val="17"/>
    <w:link w:val="10"/>
    <w:semiHidden/>
    <w:qFormat/>
    <w:uiPriority w:val="99"/>
    <w:rPr>
      <w:rFonts w:ascii="Times New Roman" w:hAnsi="Times New Roman" w:eastAsia="宋体" w:cs="Times New Roman"/>
      <w:sz w:val="18"/>
      <w:szCs w:val="18"/>
    </w:rPr>
  </w:style>
  <w:style w:type="character" w:customStyle="1" w:styleId="31">
    <w:name w:val="正文文本 2 Char1"/>
    <w:basedOn w:val="17"/>
    <w:link w:val="11"/>
    <w:semiHidden/>
    <w:qFormat/>
    <w:uiPriority w:val="99"/>
    <w:rPr>
      <w:rFonts w:ascii="Times New Roman" w:hAnsi="Times New Roman" w:eastAsia="宋体" w:cs="Times New Roman"/>
      <w:szCs w:val="24"/>
    </w:rPr>
  </w:style>
  <w:style w:type="character" w:customStyle="1" w:styleId="32">
    <w:name w:val="HTML 预设格式 Char"/>
    <w:basedOn w:val="17"/>
    <w:link w:val="12"/>
    <w:qFormat/>
    <w:uiPriority w:val="0"/>
    <w:rPr>
      <w:rFonts w:ascii="宋体" w:hAnsi="宋体" w:eastAsia="宋体" w:cs="Times New Roman"/>
      <w:kern w:val="0"/>
      <w:sz w:val="24"/>
      <w:szCs w:val="24"/>
    </w:rPr>
  </w:style>
  <w:style w:type="character" w:customStyle="1" w:styleId="33">
    <w:name w:val="标题 Char"/>
    <w:basedOn w:val="17"/>
    <w:link w:val="14"/>
    <w:qFormat/>
    <w:uiPriority w:val="0"/>
    <w:rPr>
      <w:rFonts w:ascii="Cambria" w:hAnsi="Cambria" w:eastAsia="宋体" w:cs="Times New Roman"/>
      <w:b/>
      <w:bCs/>
      <w:sz w:val="32"/>
      <w:szCs w:val="32"/>
    </w:rPr>
  </w:style>
  <w:style w:type="character" w:customStyle="1" w:styleId="34">
    <w:name w:val="页眉 Char"/>
    <w:qFormat/>
    <w:uiPriority w:val="0"/>
    <w:rPr>
      <w:rFonts w:ascii="Calibri" w:hAnsi="Calibri" w:eastAsia="宋体"/>
      <w:sz w:val="18"/>
      <w:szCs w:val="18"/>
    </w:rPr>
  </w:style>
  <w:style w:type="character" w:customStyle="1" w:styleId="35">
    <w:name w:val="正文文本缩进 Char"/>
    <w:qFormat/>
    <w:uiPriority w:val="0"/>
    <w:rPr>
      <w:rFonts w:ascii="Calibri" w:hAnsi="Calibri"/>
      <w:kern w:val="2"/>
      <w:sz w:val="21"/>
      <w:szCs w:val="22"/>
    </w:rPr>
  </w:style>
  <w:style w:type="character" w:customStyle="1" w:styleId="36">
    <w:name w:val="正文文本 Char"/>
    <w:qFormat/>
    <w:uiPriority w:val="0"/>
    <w:rPr>
      <w:rFonts w:eastAsia="宋体"/>
      <w:sz w:val="24"/>
      <w:szCs w:val="24"/>
    </w:rPr>
  </w:style>
  <w:style w:type="character" w:customStyle="1" w:styleId="37">
    <w:name w:val="Char Char7"/>
    <w:qFormat/>
    <w:uiPriority w:val="0"/>
    <w:rPr>
      <w:rFonts w:eastAsia="宋体"/>
      <w:kern w:val="2"/>
      <w:sz w:val="18"/>
      <w:szCs w:val="18"/>
      <w:lang w:val="en-US" w:eastAsia="zh-CN" w:bidi="ar-SA"/>
    </w:rPr>
  </w:style>
  <w:style w:type="character" w:customStyle="1" w:styleId="38">
    <w:name w:val="纯文本 Char"/>
    <w:qFormat/>
    <w:locked/>
    <w:uiPriority w:val="0"/>
  </w:style>
  <w:style w:type="character" w:customStyle="1" w:styleId="39">
    <w:name w:val="Char Char6"/>
    <w:qFormat/>
    <w:uiPriority w:val="0"/>
    <w:rPr>
      <w:kern w:val="2"/>
      <w:sz w:val="18"/>
      <w:szCs w:val="18"/>
    </w:rPr>
  </w:style>
  <w:style w:type="character" w:customStyle="1" w:styleId="40">
    <w:name w:val="页脚 Char"/>
    <w:qFormat/>
    <w:uiPriority w:val="0"/>
    <w:rPr>
      <w:rFonts w:eastAsia="宋体"/>
      <w:sz w:val="18"/>
      <w:szCs w:val="18"/>
    </w:rPr>
  </w:style>
  <w:style w:type="character" w:customStyle="1" w:styleId="41">
    <w:name w:val="正文文本 2 Char"/>
    <w:qFormat/>
    <w:uiPriority w:val="0"/>
    <w:rPr>
      <w:rFonts w:eastAsia="宋体"/>
      <w:szCs w:val="24"/>
    </w:rPr>
  </w:style>
  <w:style w:type="character" w:customStyle="1" w:styleId="42">
    <w:name w:val="Char Char3"/>
    <w:qFormat/>
    <w:uiPriority w:val="0"/>
    <w:rPr>
      <w:kern w:val="2"/>
      <w:sz w:val="18"/>
      <w:szCs w:val="18"/>
    </w:rPr>
  </w:style>
  <w:style w:type="character" w:customStyle="1" w:styleId="43">
    <w:name w:val="正文文本缩进 Char1"/>
    <w:qFormat/>
    <w:locked/>
    <w:uiPriority w:val="0"/>
    <w:rPr>
      <w:rFonts w:eastAsia="宋体"/>
    </w:rPr>
  </w:style>
  <w:style w:type="paragraph" w:customStyle="1" w:styleId="44">
    <w:name w:val="样式 标题 2 + 仿宋_GB2312 加粗 首行缩进:  0 厘米 段前: 1 行 段后: 1 行 行距: 固定值 ...1"/>
    <w:basedOn w:val="2"/>
    <w:qFormat/>
    <w:uiPriority w:val="0"/>
    <w:pPr>
      <w:keepNext w:val="0"/>
      <w:keepLines w:val="0"/>
      <w:spacing w:before="0" w:after="0" w:line="600" w:lineRule="exact"/>
      <w:jc w:val="left"/>
    </w:pPr>
    <w:rPr>
      <w:rFonts w:ascii="仿宋_GB2312" w:hAnsi="宋体" w:eastAsia="宋体" w:cs="宋体"/>
      <w:b w:val="0"/>
      <w:bCs w:val="0"/>
      <w:sz w:val="36"/>
      <w:szCs w:val="20"/>
    </w:rPr>
  </w:style>
  <w:style w:type="paragraph" w:customStyle="1" w:styleId="45">
    <w:name w:val="列出段落1"/>
    <w:basedOn w:val="1"/>
    <w:qFormat/>
    <w:uiPriority w:val="0"/>
    <w:pPr>
      <w:ind w:firstLine="420" w:firstLineChars="200"/>
    </w:pPr>
    <w:rPr>
      <w:rFonts w:ascii="Calibri" w:hAnsi="Calibri"/>
      <w:szCs w:val="22"/>
    </w:rPr>
  </w:style>
  <w:style w:type="paragraph" w:customStyle="1" w:styleId="4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样式1"/>
    <w:basedOn w:val="1"/>
    <w:qFormat/>
    <w:uiPriority w:val="0"/>
  </w:style>
  <w:style w:type="paragraph" w:customStyle="1" w:styleId="48">
    <w:name w:val="列表段落1"/>
    <w:basedOn w:val="1"/>
    <w:qFormat/>
    <w:uiPriority w:val="0"/>
    <w:pPr>
      <w:ind w:firstLine="420" w:firstLineChars="200"/>
    </w:pPr>
    <w:rPr>
      <w:rFonts w:ascii="Calibri" w:hAnsi="Calibri"/>
      <w:szCs w:val="22"/>
    </w:rPr>
  </w:style>
  <w:style w:type="paragraph" w:customStyle="1" w:styleId="49">
    <w:name w:val="标题5"/>
    <w:basedOn w:val="1"/>
    <w:qFormat/>
    <w:uiPriority w:val="0"/>
    <w:pPr>
      <w:autoSpaceDE w:val="0"/>
      <w:autoSpaceDN w:val="0"/>
      <w:adjustRightInd w:val="0"/>
      <w:spacing w:line="310" w:lineRule="atLeast"/>
      <w:ind w:firstLine="425"/>
    </w:pPr>
    <w:rPr>
      <w:rFonts w:ascii="黑体" w:eastAsia="黑体"/>
      <w:kern w:val="0"/>
      <w:szCs w:val="20"/>
    </w:rPr>
  </w:style>
  <w:style w:type="paragraph" w:customStyle="1" w:styleId="5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
    <w:name w:val="列出段落2"/>
    <w:basedOn w:val="1"/>
    <w:qFormat/>
    <w:uiPriority w:val="0"/>
    <w:pPr>
      <w:ind w:firstLine="420" w:firstLineChars="200"/>
    </w:pPr>
    <w:rPr>
      <w:rFonts w:ascii="Calibri" w:hAnsi="Calibri"/>
      <w:szCs w:val="22"/>
    </w:rPr>
  </w:style>
  <w:style w:type="paragraph" w:customStyle="1" w:styleId="52">
    <w:name w:val="content5"/>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53">
    <w:name w:val="List Paragraph"/>
    <w:basedOn w:val="1"/>
    <w:qFormat/>
    <w:uiPriority w:val="34"/>
    <w:pPr>
      <w:ind w:firstLine="420" w:firstLineChars="200"/>
    </w:pPr>
  </w:style>
  <w:style w:type="paragraph" w:styleId="5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55">
    <w:name w:val="——正文E2"/>
    <w:basedOn w:val="1"/>
    <w:qFormat/>
    <w:uiPriority w:val="0"/>
    <w:pPr>
      <w:spacing w:line="360" w:lineRule="auto"/>
      <w:ind w:firstLine="480" w:firstLineChars="200"/>
    </w:pPr>
    <w:rPr>
      <w:rFonts w:ascii="仿宋_GB2312" w:hAnsi="宋体" w:eastAsia="仿宋_GB2312"/>
      <w:sz w:val="24"/>
    </w:rPr>
  </w:style>
  <w:style w:type="paragraph" w:customStyle="1" w:styleId="56">
    <w:name w:val="Table Paragraph"/>
    <w:qFormat/>
    <w:uiPriority w:val="1"/>
    <w:pPr>
      <w:widowControl w:val="0"/>
      <w:autoSpaceDE w:val="0"/>
      <w:autoSpaceDN w:val="0"/>
    </w:pPr>
    <w:rPr>
      <w:rFonts w:ascii="宋体" w:hAnsi="宋体" w:eastAsia="宋体" w:cs="宋体"/>
      <w:sz w:val="22"/>
      <w:szCs w:val="22"/>
      <w:lang w:val="zh-CN" w:eastAsia="zh-CN" w:bidi="zh-CN"/>
    </w:rPr>
  </w:style>
  <w:style w:type="character" w:customStyle="1" w:styleId="57">
    <w:name w:val="font41"/>
    <w:basedOn w:val="17"/>
    <w:qFormat/>
    <w:uiPriority w:val="0"/>
    <w:rPr>
      <w:rFonts w:hint="eastAsia" w:ascii="宋体" w:hAnsi="宋体" w:eastAsia="宋体" w:cs="宋体"/>
      <w:color w:val="000000"/>
      <w:sz w:val="21"/>
      <w:szCs w:val="21"/>
      <w:u w:val="none"/>
    </w:rPr>
  </w:style>
  <w:style w:type="character" w:customStyle="1" w:styleId="58">
    <w:name w:val="font11"/>
    <w:basedOn w:val="17"/>
    <w:qFormat/>
    <w:uiPriority w:val="0"/>
    <w:rPr>
      <w:rFonts w:hint="eastAsia" w:ascii="宋体" w:hAnsi="宋体" w:eastAsia="宋体" w:cs="宋体"/>
      <w:b/>
      <w:color w:val="000000"/>
      <w:sz w:val="21"/>
      <w:szCs w:val="21"/>
      <w:u w:val="none"/>
    </w:rPr>
  </w:style>
  <w:style w:type="character" w:customStyle="1" w:styleId="59">
    <w:name w:val="font01"/>
    <w:basedOn w:val="17"/>
    <w:qFormat/>
    <w:uiPriority w:val="0"/>
    <w:rPr>
      <w:rFonts w:hint="eastAsia" w:ascii="宋体" w:hAnsi="宋体" w:eastAsia="宋体" w:cs="宋体"/>
      <w:color w:val="000000"/>
      <w:sz w:val="21"/>
      <w:szCs w:val="21"/>
      <w:u w:val="none"/>
    </w:rPr>
  </w:style>
  <w:style w:type="character" w:customStyle="1" w:styleId="60">
    <w:name w:val="font91"/>
    <w:basedOn w:val="17"/>
    <w:qFormat/>
    <w:uiPriority w:val="0"/>
    <w:rPr>
      <w:rFonts w:hint="eastAsia" w:ascii="宋体" w:hAnsi="宋体" w:eastAsia="宋体" w:cs="宋体"/>
      <w:b/>
      <w:color w:val="000000"/>
      <w:sz w:val="21"/>
      <w:szCs w:val="21"/>
      <w:u w:val="none"/>
    </w:rPr>
  </w:style>
  <w:style w:type="character" w:customStyle="1" w:styleId="61">
    <w:name w:val="font81"/>
    <w:basedOn w:val="17"/>
    <w:qFormat/>
    <w:uiPriority w:val="0"/>
    <w:rPr>
      <w:rFonts w:hint="eastAsia" w:ascii="宋体" w:hAnsi="宋体" w:eastAsia="宋体" w:cs="宋体"/>
      <w:color w:val="FF0000"/>
      <w:sz w:val="21"/>
      <w:szCs w:val="21"/>
      <w:u w:val="none"/>
    </w:rPr>
  </w:style>
  <w:style w:type="character" w:customStyle="1" w:styleId="62">
    <w:name w:val="font71"/>
    <w:basedOn w:val="17"/>
    <w:qFormat/>
    <w:uiPriority w:val="0"/>
    <w:rPr>
      <w:rFonts w:hint="eastAsia" w:ascii="宋体" w:hAnsi="宋体" w:eastAsia="宋体" w:cs="宋体"/>
      <w:color w:val="000000"/>
      <w:sz w:val="21"/>
      <w:szCs w:val="21"/>
      <w:u w:val="none"/>
    </w:rPr>
  </w:style>
  <w:style w:type="character" w:customStyle="1" w:styleId="63">
    <w:name w:val="font112"/>
    <w:basedOn w:val="17"/>
    <w:qFormat/>
    <w:uiPriority w:val="0"/>
    <w:rPr>
      <w:rFonts w:hint="eastAsia" w:ascii="宋体" w:hAnsi="宋体" w:eastAsia="宋体" w:cs="宋体"/>
      <w:b/>
      <w:color w:val="000000"/>
      <w:sz w:val="21"/>
      <w:szCs w:val="21"/>
      <w:u w:val="none"/>
    </w:rPr>
  </w:style>
  <w:style w:type="character" w:customStyle="1" w:styleId="64">
    <w:name w:val="font31"/>
    <w:basedOn w:val="17"/>
    <w:qFormat/>
    <w:uiPriority w:val="0"/>
    <w:rPr>
      <w:rFonts w:hint="eastAsia" w:ascii="宋体" w:hAnsi="宋体" w:eastAsia="宋体" w:cs="宋体"/>
      <w:color w:val="000000"/>
      <w:sz w:val="21"/>
      <w:szCs w:val="21"/>
      <w:u w:val="none"/>
    </w:rPr>
  </w:style>
  <w:style w:type="paragraph" w:customStyle="1" w:styleId="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6">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7">
    <w:name w:val="xl65"/>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8">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69">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 w:type="paragraph" w:customStyle="1" w:styleId="70">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71">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Cs w:val="21"/>
    </w:rPr>
  </w:style>
  <w:style w:type="paragraph" w:customStyle="1" w:styleId="72">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73">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74">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75">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 w:type="paragraph" w:customStyle="1" w:styleId="76">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Cs w:val="21"/>
    </w:rPr>
  </w:style>
  <w:style w:type="paragraph" w:customStyle="1" w:styleId="77">
    <w:name w:val="xl7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78">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79">
    <w:name w:val="xl7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80">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8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82">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Cs w:val="21"/>
    </w:rPr>
  </w:style>
  <w:style w:type="paragraph" w:customStyle="1" w:styleId="83">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84">
    <w:name w:val="xl82"/>
    <w:basedOn w:val="1"/>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85">
    <w:name w:val="xl83"/>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cs="宋体"/>
      <w:kern w:val="0"/>
      <w:szCs w:val="21"/>
    </w:rPr>
  </w:style>
  <w:style w:type="paragraph" w:customStyle="1" w:styleId="86">
    <w:name w:val="xl8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87">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88">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89">
    <w:name w:val="xl8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Cs w:val="21"/>
    </w:rPr>
  </w:style>
  <w:style w:type="paragraph" w:customStyle="1" w:styleId="90">
    <w:name w:val="xl88"/>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cs="宋体"/>
      <w:kern w:val="0"/>
      <w:szCs w:val="21"/>
    </w:rPr>
  </w:style>
  <w:style w:type="paragraph" w:customStyle="1" w:styleId="91">
    <w:name w:val="xl8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2">
    <w:name w:val="xl90"/>
    <w:basedOn w:val="1"/>
    <w:qFormat/>
    <w:uiPriority w:val="0"/>
    <w:pPr>
      <w:widowControl/>
      <w:pBdr>
        <w:top w:val="single" w:color="000000" w:sz="4" w:space="0"/>
        <w:left w:val="single" w:color="000000" w:sz="4" w:space="18"/>
        <w:bottom w:val="single" w:color="000000" w:sz="4" w:space="0"/>
        <w:right w:val="single" w:color="000000" w:sz="4" w:space="0"/>
      </w:pBdr>
      <w:spacing w:before="100" w:beforeAutospacing="1" w:after="100" w:afterAutospacing="1"/>
      <w:ind w:firstLine="100" w:firstLineChars="100"/>
      <w:jc w:val="left"/>
    </w:pPr>
    <w:rPr>
      <w:rFonts w:ascii="宋体" w:hAnsi="宋体" w:cs="宋体"/>
      <w:color w:val="000000"/>
      <w:kern w:val="0"/>
      <w:sz w:val="24"/>
    </w:rPr>
  </w:style>
  <w:style w:type="paragraph" w:customStyle="1" w:styleId="93">
    <w:name w:val="xl9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94">
    <w:name w:val="xl92"/>
    <w:basedOn w:val="1"/>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5">
    <w:name w:val="xl93"/>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6">
    <w:name w:val="xl94"/>
    <w:basedOn w:val="1"/>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7">
    <w:name w:val="xl95"/>
    <w:basedOn w:val="1"/>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8">
    <w:name w:val="xl96"/>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9">
    <w:name w:val="xl97"/>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0">
    <w:name w:val="xl9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01">
    <w:name w:val="xl99"/>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02">
    <w:name w:val="xl10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03">
    <w:name w:val="xl10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04">
    <w:name w:val="xl102"/>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05">
    <w:name w:val="xl10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06">
    <w:name w:val="xl10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07">
    <w:name w:val="xl105"/>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08">
    <w:name w:val="xl10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character" w:customStyle="1" w:styleId="109">
    <w:name w:val="font61"/>
    <w:basedOn w:val="17"/>
    <w:qFormat/>
    <w:uiPriority w:val="0"/>
    <w:rPr>
      <w:rFonts w:hint="default" w:ascii="Times New Roman" w:hAnsi="Times New Roman" w:cs="Times New Roman"/>
      <w:color w:val="000000"/>
      <w:sz w:val="21"/>
      <w:szCs w:val="21"/>
      <w:u w:val="none"/>
    </w:rPr>
  </w:style>
  <w:style w:type="paragraph" w:customStyle="1" w:styleId="11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11">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19</Pages>
  <Words>13434</Words>
  <Characters>14196</Characters>
  <Lines>117</Lines>
  <Paragraphs>32</Paragraphs>
  <TotalTime>247</TotalTime>
  <ScaleCrop>false</ScaleCrop>
  <LinksUpToDate>false</LinksUpToDate>
  <CharactersWithSpaces>14796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2019-12-04T07:25:00Z</dcterms:created>
  <dc:creator>USER-</dc:creator>
  <cp:lastModifiedBy>alin</cp:lastModifiedBy>
  <dcterms:modified xsi:type="dcterms:W3CDTF">2022-11-02T02:48:14Z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936936D50257490D8E9B48698F89458D</vt:lpwstr>
  </property>
</Properties>
</file>