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78" w:afterLines="25" w:line="480" w:lineRule="auto"/>
        <w:jc w:val="center"/>
      </w:pPr>
      <w:r>
        <w:fldChar w:fldCharType="begin"/>
      </w:r>
      <w:r>
        <w:instrText xml:space="preserve"> INCLUDEPICTURE "https://gss2.bdstatic.com/9fo3dSag_xI4khGkpoWK1HF6hhy/baike/s%3D220/sign=9de876ecaeec08fa220014a569ef3d4d/3bf33a87e950352aacb7f75b5d43fbf2b3118b8b.jpg" \* MERGEFORMATINET </w:instrText>
      </w:r>
      <w:r>
        <w:fldChar w:fldCharType="separate"/>
      </w:r>
      <w:r>
        <w:drawing>
          <wp:inline distT="0" distB="0" distL="114300" distR="114300">
            <wp:extent cx="1224280" cy="1174750"/>
            <wp:effectExtent l="0" t="0" r="7620" b="6350"/>
            <wp:docPr id="1" name="图片 1" descr="3bf33a87e950352aacb7f75b5d43fbf2b3118b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bf33a87e950352aacb7f75b5d43fbf2b3118b8b"/>
                    <pic:cNvPicPr>
                      <a:picLocks noChangeAspect="1"/>
                    </pic:cNvPicPr>
                  </pic:nvPicPr>
                  <pic:blipFill>
                    <a:blip r:embed="rId5"/>
                    <a:stretch>
                      <a:fillRect/>
                    </a:stretch>
                  </pic:blipFill>
                  <pic:spPr>
                    <a:xfrm>
                      <a:off x="0" y="0"/>
                      <a:ext cx="1224280" cy="1174750"/>
                    </a:xfrm>
                    <a:prstGeom prst="rect">
                      <a:avLst/>
                    </a:prstGeom>
                    <a:noFill/>
                    <a:ln>
                      <a:noFill/>
                    </a:ln>
                  </pic:spPr>
                </pic:pic>
              </a:graphicData>
            </a:graphic>
          </wp:inline>
        </w:drawing>
      </w:r>
      <w:r>
        <w:fldChar w:fldCharType="end"/>
      </w:r>
    </w:p>
    <w:p>
      <w:pPr>
        <w:widowControl/>
        <w:spacing w:after="78" w:afterLines="25" w:line="480" w:lineRule="auto"/>
        <w:jc w:val="center"/>
        <w:rPr>
          <w:rFonts w:ascii="黑体" w:hAnsi="黑体" w:eastAsia="黑体" w:cs="黑体"/>
          <w:b/>
          <w:bCs/>
          <w:kern w:val="0"/>
          <w:sz w:val="36"/>
          <w:szCs w:val="36"/>
        </w:rPr>
      </w:pPr>
      <w:r>
        <w:rPr>
          <w:rFonts w:hint="eastAsia" w:ascii="黑体" w:hAnsi="黑体" w:eastAsia="黑体" w:cs="黑体"/>
          <w:b/>
          <w:bCs/>
          <w:kern w:val="0"/>
          <w:sz w:val="36"/>
          <w:szCs w:val="36"/>
        </w:rPr>
        <w:t>广东茂名农林科技职业学院</w:t>
      </w:r>
    </w:p>
    <w:p>
      <w:pPr>
        <w:widowControl/>
        <w:spacing w:after="78" w:afterLines="25" w:line="480" w:lineRule="auto"/>
        <w:jc w:val="center"/>
        <w:rPr>
          <w:rFonts w:hint="eastAsia" w:ascii="宋体" w:hAnsi="宋体" w:eastAsia="黑体" w:cs="宋体"/>
          <w:b/>
          <w:bCs/>
          <w:kern w:val="0"/>
          <w:sz w:val="48"/>
          <w:szCs w:val="48"/>
          <w:lang w:eastAsia="zh-CN"/>
        </w:rPr>
      </w:pPr>
      <w:r>
        <w:rPr>
          <w:rFonts w:hint="eastAsia" w:ascii="黑体" w:hAnsi="黑体" w:eastAsia="黑体" w:cs="黑体"/>
          <w:b/>
          <w:bCs/>
          <w:kern w:val="0"/>
          <w:sz w:val="52"/>
          <w:szCs w:val="52"/>
        </w:rPr>
        <w:t>专业人才培养方案</w:t>
      </w:r>
      <w:r>
        <w:rPr>
          <w:rFonts w:hint="eastAsia" w:ascii="黑体" w:hAnsi="黑体" w:eastAsia="黑体" w:cs="黑体"/>
          <w:b/>
          <w:bCs/>
          <w:kern w:val="0"/>
          <w:sz w:val="52"/>
          <w:szCs w:val="52"/>
          <w:lang w:eastAsia="zh-CN"/>
        </w:rPr>
        <w:t>（</w:t>
      </w:r>
      <w:r>
        <w:rPr>
          <w:rFonts w:hint="eastAsia" w:ascii="黑体" w:hAnsi="黑体" w:eastAsia="黑体" w:cs="黑体"/>
          <w:b/>
          <w:bCs/>
          <w:kern w:val="0"/>
          <w:sz w:val="52"/>
          <w:szCs w:val="52"/>
          <w:lang w:val="en-US" w:eastAsia="zh-CN"/>
        </w:rPr>
        <w:t>修订版</w:t>
      </w:r>
      <w:r>
        <w:rPr>
          <w:rFonts w:hint="eastAsia" w:ascii="黑体" w:hAnsi="黑体" w:eastAsia="黑体" w:cs="黑体"/>
          <w:b/>
          <w:bCs/>
          <w:kern w:val="0"/>
          <w:sz w:val="52"/>
          <w:szCs w:val="52"/>
          <w:lang w:eastAsia="zh-CN"/>
        </w:rPr>
        <w:t>）</w:t>
      </w:r>
    </w:p>
    <w:p>
      <w:pPr>
        <w:widowControl/>
        <w:spacing w:after="78" w:afterLines="25" w:line="480" w:lineRule="auto"/>
        <w:jc w:val="center"/>
        <w:rPr>
          <w:rFonts w:ascii="宋体" w:hAnsi="宋体" w:cs="宋体"/>
          <w:b/>
          <w:bCs/>
          <w:kern w:val="0"/>
          <w:sz w:val="32"/>
          <w:szCs w:val="32"/>
        </w:rPr>
      </w:pPr>
      <w:r>
        <w:rPr>
          <w:rFonts w:hint="eastAsia" w:ascii="宋体" w:hAnsi="宋体" w:cs="宋体"/>
          <w:b/>
          <w:bCs/>
          <w:kern w:val="0"/>
          <w:sz w:val="32"/>
          <w:szCs w:val="32"/>
        </w:rPr>
        <w:t>(2022级)</w:t>
      </w:r>
    </w:p>
    <w:p>
      <w:pPr>
        <w:widowControl/>
        <w:spacing w:after="78" w:afterLines="25" w:line="480" w:lineRule="auto"/>
        <w:jc w:val="center"/>
        <w:rPr>
          <w:rFonts w:ascii="宋体" w:hAnsi="宋体" w:cs="宋体"/>
          <w:b/>
          <w:bCs/>
          <w:kern w:val="0"/>
          <w:sz w:val="32"/>
          <w:szCs w:val="32"/>
        </w:rPr>
      </w:pPr>
      <w:r>
        <w:rPr>
          <w:rFonts w:hint="eastAsia" w:ascii="宋体" w:hAnsi="宋体" w:cs="宋体"/>
          <w:b/>
          <w:bCs/>
          <w:kern w:val="0"/>
          <w:sz w:val="32"/>
          <w:szCs w:val="32"/>
        </w:rPr>
        <w:t xml:space="preserve"> </w:t>
      </w:r>
    </w:p>
    <w:p>
      <w:pPr>
        <w:widowControl/>
        <w:spacing w:after="78" w:afterLines="25" w:line="480" w:lineRule="auto"/>
        <w:rPr>
          <w:rFonts w:ascii="宋体" w:hAnsi="宋体" w:cs="宋体"/>
          <w:b/>
          <w:bCs/>
          <w:kern w:val="0"/>
          <w:sz w:val="32"/>
          <w:szCs w:val="32"/>
        </w:rPr>
      </w:pPr>
    </w:p>
    <w:p>
      <w:pPr>
        <w:widowControl/>
        <w:spacing w:after="78" w:afterLines="25" w:line="480" w:lineRule="auto"/>
        <w:rPr>
          <w:rFonts w:ascii="宋体" w:hAnsi="宋体" w:cs="宋体"/>
          <w:b/>
          <w:bCs/>
          <w:kern w:val="0"/>
          <w:sz w:val="32"/>
          <w:szCs w:val="32"/>
        </w:rPr>
      </w:pPr>
    </w:p>
    <w:p>
      <w:pPr>
        <w:widowControl/>
        <w:spacing w:after="78" w:afterLines="25" w:line="480" w:lineRule="auto"/>
        <w:jc w:val="center"/>
        <w:rPr>
          <w:rFonts w:ascii="宋体" w:hAnsi="宋体" w:cs="宋体"/>
          <w:b/>
          <w:bCs/>
          <w:kern w:val="0"/>
          <w:sz w:val="32"/>
          <w:szCs w:val="32"/>
        </w:rPr>
      </w:pPr>
    </w:p>
    <w:p>
      <w:pPr>
        <w:widowControl/>
        <w:spacing w:after="78" w:afterLines="25" w:line="480" w:lineRule="auto"/>
        <w:jc w:val="center"/>
        <w:rPr>
          <w:rFonts w:ascii="宋体" w:hAnsi="宋体" w:cs="宋体"/>
          <w:b/>
          <w:bCs/>
          <w:kern w:val="0"/>
          <w:sz w:val="32"/>
          <w:szCs w:val="32"/>
        </w:rPr>
      </w:pPr>
    </w:p>
    <w:p>
      <w:pPr>
        <w:widowControl/>
        <w:spacing w:after="78" w:afterLines="25" w:line="480" w:lineRule="auto"/>
        <w:jc w:val="center"/>
        <w:rPr>
          <w:rFonts w:ascii="宋体" w:hAnsi="宋体" w:cs="宋体"/>
          <w:b/>
          <w:bCs/>
          <w:kern w:val="0"/>
          <w:sz w:val="32"/>
          <w:szCs w:val="32"/>
        </w:rPr>
      </w:pPr>
    </w:p>
    <w:p>
      <w:pPr>
        <w:widowControl/>
        <w:spacing w:after="78" w:afterLines="25" w:line="480" w:lineRule="auto"/>
        <w:jc w:val="center"/>
        <w:rPr>
          <w:rFonts w:ascii="宋体" w:hAnsi="宋体" w:cs="宋体"/>
          <w:b/>
          <w:bCs/>
          <w:kern w:val="0"/>
          <w:sz w:val="32"/>
          <w:szCs w:val="32"/>
        </w:rPr>
      </w:pPr>
    </w:p>
    <w:p>
      <w:pPr>
        <w:widowControl/>
        <w:spacing w:after="78" w:afterLines="25" w:line="480" w:lineRule="auto"/>
        <w:rPr>
          <w:rFonts w:ascii="宋体" w:hAnsi="宋体" w:cs="宋体"/>
          <w:b/>
          <w:bCs/>
          <w:kern w:val="0"/>
          <w:sz w:val="32"/>
          <w:szCs w:val="32"/>
        </w:rPr>
      </w:pPr>
    </w:p>
    <w:p>
      <w:pPr>
        <w:widowControl/>
        <w:ind w:firstLine="1446" w:firstLineChars="400"/>
        <w:jc w:val="left"/>
        <w:rPr>
          <w:rFonts w:ascii="仿宋" w:hAnsi="仿宋" w:eastAsia="仿宋" w:cs="仿宋"/>
          <w:b/>
          <w:bCs/>
        </w:rPr>
      </w:pPr>
      <w:r>
        <w:rPr>
          <w:rFonts w:hint="eastAsia" w:ascii="仿宋" w:hAnsi="仿宋" w:eastAsia="仿宋" w:cs="仿宋"/>
          <w:b/>
          <w:bCs/>
          <w:color w:val="000000"/>
          <w:kern w:val="0"/>
          <w:sz w:val="36"/>
          <w:szCs w:val="36"/>
          <w:lang w:bidi="ar"/>
        </w:rPr>
        <w:t xml:space="preserve">专 业 名 称 </w:t>
      </w:r>
      <w:r>
        <w:rPr>
          <w:rFonts w:hint="eastAsia" w:ascii="仿宋" w:hAnsi="仿宋" w:eastAsia="仿宋" w:cs="仿宋"/>
          <w:b/>
          <w:bCs/>
          <w:color w:val="000000"/>
          <w:kern w:val="0"/>
          <w:sz w:val="36"/>
          <w:szCs w:val="36"/>
          <w:u w:val="single"/>
          <w:lang w:bidi="ar"/>
        </w:rPr>
        <w:t xml:space="preserve"> 汽车检测与维修技术  </w:t>
      </w:r>
    </w:p>
    <w:p>
      <w:pPr>
        <w:widowControl/>
        <w:ind w:firstLine="1446" w:firstLineChars="400"/>
        <w:jc w:val="left"/>
        <w:rPr>
          <w:rFonts w:ascii="仿宋" w:hAnsi="仿宋" w:eastAsia="仿宋" w:cs="仿宋"/>
          <w:b/>
          <w:bCs/>
          <w:u w:val="single"/>
        </w:rPr>
      </w:pPr>
      <w:r>
        <w:rPr>
          <w:rFonts w:hint="eastAsia" w:ascii="仿宋" w:hAnsi="仿宋" w:eastAsia="仿宋" w:cs="仿宋"/>
          <w:b/>
          <w:bCs/>
          <w:color w:val="000000"/>
          <w:kern w:val="0"/>
          <w:sz w:val="36"/>
          <w:szCs w:val="36"/>
          <w:lang w:bidi="ar"/>
        </w:rPr>
        <w:t xml:space="preserve">专 业 代 码 </w:t>
      </w:r>
      <w:r>
        <w:rPr>
          <w:rFonts w:hint="eastAsia" w:ascii="仿宋" w:hAnsi="仿宋" w:eastAsia="仿宋" w:cs="仿宋"/>
          <w:b/>
          <w:bCs/>
          <w:color w:val="000000"/>
          <w:kern w:val="0"/>
          <w:sz w:val="36"/>
          <w:szCs w:val="36"/>
          <w:u w:val="single"/>
          <w:lang w:bidi="ar"/>
        </w:rPr>
        <w:t xml:space="preserve">   </w:t>
      </w:r>
      <w:r>
        <w:rPr>
          <w:rFonts w:ascii="仿宋" w:hAnsi="仿宋" w:eastAsia="仿宋" w:cs="仿宋"/>
          <w:b/>
          <w:bCs/>
          <w:color w:val="000000"/>
          <w:kern w:val="0"/>
          <w:sz w:val="36"/>
          <w:szCs w:val="36"/>
          <w:u w:val="single"/>
          <w:lang w:bidi="ar"/>
        </w:rPr>
        <w:t xml:space="preserve">  </w:t>
      </w:r>
      <w:r>
        <w:rPr>
          <w:rFonts w:hint="eastAsia" w:ascii="仿宋" w:hAnsi="仿宋" w:eastAsia="仿宋" w:cs="仿宋"/>
          <w:b/>
          <w:bCs/>
          <w:color w:val="000000"/>
          <w:kern w:val="0"/>
          <w:sz w:val="36"/>
          <w:szCs w:val="36"/>
          <w:u w:val="single"/>
          <w:lang w:bidi="ar"/>
        </w:rPr>
        <w:t xml:space="preserve"> 500211  </w:t>
      </w:r>
      <w:r>
        <w:rPr>
          <w:rFonts w:ascii="仿宋" w:hAnsi="仿宋" w:eastAsia="仿宋" w:cs="仿宋"/>
          <w:b/>
          <w:bCs/>
          <w:color w:val="000000"/>
          <w:kern w:val="0"/>
          <w:sz w:val="36"/>
          <w:szCs w:val="36"/>
          <w:u w:val="single"/>
          <w:lang w:bidi="ar"/>
        </w:rPr>
        <w:t xml:space="preserve">  </w:t>
      </w:r>
      <w:r>
        <w:rPr>
          <w:rFonts w:hint="eastAsia" w:ascii="仿宋" w:hAnsi="仿宋" w:eastAsia="仿宋" w:cs="仿宋"/>
          <w:b/>
          <w:bCs/>
          <w:color w:val="000000"/>
          <w:kern w:val="0"/>
          <w:sz w:val="36"/>
          <w:szCs w:val="36"/>
          <w:u w:val="single"/>
          <w:lang w:bidi="ar"/>
        </w:rPr>
        <w:t xml:space="preserve">     </w:t>
      </w:r>
    </w:p>
    <w:p>
      <w:pPr>
        <w:widowControl/>
        <w:ind w:firstLine="1446" w:firstLineChars="400"/>
        <w:jc w:val="left"/>
        <w:rPr>
          <w:rFonts w:ascii="仿宋" w:hAnsi="仿宋" w:eastAsia="仿宋" w:cs="仿宋"/>
          <w:b/>
          <w:bCs/>
        </w:rPr>
      </w:pPr>
      <w:r>
        <w:rPr>
          <w:rFonts w:hint="eastAsia" w:ascii="仿宋" w:hAnsi="仿宋" w:eastAsia="仿宋" w:cs="仿宋"/>
          <w:b/>
          <w:bCs/>
          <w:color w:val="000000"/>
          <w:kern w:val="0"/>
          <w:sz w:val="36"/>
          <w:szCs w:val="36"/>
          <w:lang w:val="en-US" w:eastAsia="zh-CN" w:bidi="ar"/>
        </w:rPr>
        <w:t>修</w:t>
      </w:r>
      <w:r>
        <w:rPr>
          <w:rFonts w:hint="eastAsia" w:ascii="仿宋" w:hAnsi="仿宋" w:eastAsia="仿宋" w:cs="仿宋"/>
          <w:b/>
          <w:bCs/>
          <w:color w:val="000000"/>
          <w:kern w:val="0"/>
          <w:sz w:val="36"/>
          <w:szCs w:val="36"/>
          <w:lang w:bidi="ar"/>
        </w:rPr>
        <w:t xml:space="preserve"> 订 部 门 </w:t>
      </w:r>
      <w:r>
        <w:rPr>
          <w:rFonts w:hint="eastAsia" w:ascii="仿宋" w:hAnsi="仿宋" w:eastAsia="仿宋" w:cs="仿宋"/>
          <w:b/>
          <w:bCs/>
          <w:color w:val="000000"/>
          <w:kern w:val="0"/>
          <w:sz w:val="36"/>
          <w:szCs w:val="36"/>
          <w:u w:val="single"/>
          <w:lang w:bidi="ar"/>
        </w:rPr>
        <w:t xml:space="preserve">    </w:t>
      </w:r>
      <w:r>
        <w:rPr>
          <w:rFonts w:ascii="仿宋" w:hAnsi="仿宋" w:eastAsia="仿宋" w:cs="仿宋"/>
          <w:b/>
          <w:bCs/>
          <w:color w:val="000000"/>
          <w:kern w:val="0"/>
          <w:sz w:val="36"/>
          <w:szCs w:val="36"/>
          <w:u w:val="single"/>
          <w:lang w:bidi="ar"/>
        </w:rPr>
        <w:t xml:space="preserve"> </w:t>
      </w:r>
      <w:r>
        <w:rPr>
          <w:rFonts w:hint="eastAsia" w:ascii="仿宋" w:hAnsi="仿宋" w:eastAsia="仿宋" w:cs="仿宋"/>
          <w:b/>
          <w:bCs/>
          <w:color w:val="000000"/>
          <w:kern w:val="0"/>
          <w:sz w:val="36"/>
          <w:szCs w:val="36"/>
          <w:u w:val="single"/>
          <w:lang w:bidi="ar"/>
        </w:rPr>
        <w:t xml:space="preserve">智能工程系  </w:t>
      </w:r>
      <w:r>
        <w:rPr>
          <w:rFonts w:ascii="仿宋" w:hAnsi="仿宋" w:eastAsia="仿宋" w:cs="仿宋"/>
          <w:b/>
          <w:bCs/>
          <w:color w:val="000000"/>
          <w:kern w:val="0"/>
          <w:sz w:val="36"/>
          <w:szCs w:val="36"/>
          <w:u w:val="single"/>
          <w:lang w:bidi="ar"/>
        </w:rPr>
        <w:t xml:space="preserve"> </w:t>
      </w:r>
      <w:r>
        <w:rPr>
          <w:rFonts w:hint="eastAsia" w:ascii="仿宋" w:hAnsi="仿宋" w:eastAsia="仿宋" w:cs="仿宋"/>
          <w:b/>
          <w:bCs/>
          <w:color w:val="000000"/>
          <w:kern w:val="0"/>
          <w:sz w:val="36"/>
          <w:szCs w:val="36"/>
          <w:u w:val="single"/>
          <w:lang w:bidi="ar"/>
        </w:rPr>
        <w:t xml:space="preserve"> </w:t>
      </w:r>
      <w:r>
        <w:rPr>
          <w:rFonts w:ascii="仿宋" w:hAnsi="仿宋" w:eastAsia="仿宋" w:cs="仿宋"/>
          <w:b/>
          <w:bCs/>
          <w:color w:val="000000"/>
          <w:kern w:val="0"/>
          <w:sz w:val="36"/>
          <w:szCs w:val="36"/>
          <w:u w:val="single"/>
          <w:lang w:bidi="ar"/>
        </w:rPr>
        <w:t xml:space="preserve"> </w:t>
      </w:r>
      <w:r>
        <w:rPr>
          <w:rFonts w:hint="eastAsia" w:ascii="仿宋" w:hAnsi="仿宋" w:eastAsia="仿宋" w:cs="仿宋"/>
          <w:b/>
          <w:bCs/>
          <w:color w:val="000000"/>
          <w:kern w:val="0"/>
          <w:sz w:val="36"/>
          <w:szCs w:val="36"/>
          <w:u w:val="single"/>
          <w:lang w:bidi="ar"/>
        </w:rPr>
        <w:t xml:space="preserve"> </w:t>
      </w:r>
    </w:p>
    <w:p>
      <w:pPr>
        <w:widowControl/>
        <w:ind w:firstLine="1446" w:firstLineChars="400"/>
        <w:jc w:val="left"/>
      </w:pPr>
      <w:r>
        <w:rPr>
          <w:rFonts w:hint="eastAsia" w:ascii="仿宋" w:hAnsi="仿宋" w:eastAsia="仿宋" w:cs="仿宋"/>
          <w:b/>
          <w:bCs/>
          <w:color w:val="000000"/>
          <w:kern w:val="0"/>
          <w:sz w:val="36"/>
          <w:szCs w:val="36"/>
          <w:lang w:val="en-US" w:eastAsia="zh-CN" w:bidi="ar"/>
        </w:rPr>
        <w:t>修</w:t>
      </w:r>
      <w:r>
        <w:rPr>
          <w:rFonts w:hint="eastAsia" w:ascii="仿宋" w:hAnsi="仿宋" w:eastAsia="仿宋" w:cs="仿宋"/>
          <w:b/>
          <w:bCs/>
          <w:color w:val="000000"/>
          <w:kern w:val="0"/>
          <w:sz w:val="36"/>
          <w:szCs w:val="36"/>
          <w:lang w:bidi="ar"/>
        </w:rPr>
        <w:t xml:space="preserve"> 订 时 间 </w:t>
      </w:r>
      <w:r>
        <w:rPr>
          <w:rFonts w:hint="eastAsia" w:ascii="仿宋" w:hAnsi="仿宋" w:eastAsia="仿宋" w:cs="仿宋"/>
          <w:b/>
          <w:bCs/>
          <w:color w:val="000000"/>
          <w:kern w:val="0"/>
          <w:sz w:val="36"/>
          <w:szCs w:val="36"/>
          <w:u w:val="single"/>
          <w:lang w:bidi="ar"/>
        </w:rPr>
        <w:t xml:space="preserve">      </w:t>
      </w:r>
      <w:r>
        <w:rPr>
          <w:rFonts w:hint="eastAsia" w:ascii="仿宋" w:hAnsi="仿宋" w:eastAsia="仿宋" w:cs="仿宋"/>
          <w:b/>
          <w:bCs/>
          <w:color w:val="000000"/>
          <w:kern w:val="0"/>
          <w:sz w:val="36"/>
          <w:szCs w:val="36"/>
          <w:u w:val="single"/>
          <w:lang w:val="en-US" w:eastAsia="zh-CN" w:bidi="ar"/>
        </w:rPr>
        <w:t>2022年6月</w:t>
      </w:r>
      <w:r>
        <w:rPr>
          <w:rFonts w:hint="eastAsia" w:ascii="仿宋" w:hAnsi="仿宋" w:eastAsia="仿宋" w:cs="仿宋"/>
          <w:b/>
          <w:bCs/>
          <w:color w:val="000000"/>
          <w:kern w:val="0"/>
          <w:sz w:val="36"/>
          <w:szCs w:val="36"/>
          <w:u w:val="single"/>
          <w:lang w:bidi="ar"/>
        </w:rPr>
        <w:t xml:space="preserve"> </w:t>
      </w:r>
      <w:r>
        <w:rPr>
          <w:rFonts w:ascii="仿宋" w:hAnsi="仿宋" w:eastAsia="仿宋" w:cs="仿宋"/>
          <w:b/>
          <w:bCs/>
          <w:color w:val="000000"/>
          <w:kern w:val="0"/>
          <w:sz w:val="36"/>
          <w:szCs w:val="36"/>
          <w:u w:val="single"/>
          <w:lang w:bidi="ar"/>
        </w:rPr>
        <w:t xml:space="preserve">   </w:t>
      </w:r>
    </w:p>
    <w:p>
      <w:pPr>
        <w:rPr>
          <w:rFonts w:ascii="Times New Roman" w:hAnsi="Times New Roman" w:eastAsia="黑体"/>
          <w:kern w:val="0"/>
          <w:sz w:val="44"/>
          <w:szCs w:val="44"/>
        </w:rPr>
      </w:pPr>
    </w:p>
    <w:p>
      <w:pPr>
        <w:spacing w:line="264" w:lineRule="auto"/>
        <w:jc w:val="center"/>
        <w:rPr>
          <w:rFonts w:ascii="仿宋" w:hAnsi="仿宋" w:eastAsia="仿宋"/>
          <w:b/>
          <w:bCs/>
          <w:sz w:val="36"/>
          <w:szCs w:val="36"/>
        </w:rPr>
      </w:pPr>
      <w:r>
        <w:rPr>
          <w:rFonts w:hint="eastAsia" w:ascii="Times New Roman" w:hAnsi="Times New Roman" w:eastAsia="黑体"/>
          <w:kern w:val="0"/>
          <w:sz w:val="28"/>
          <w:szCs w:val="28"/>
        </w:rPr>
        <w:t>广东茂名农林科技职业学院制</w:t>
      </w:r>
    </w:p>
    <w:p>
      <w:pPr>
        <w:spacing w:line="360" w:lineRule="auto"/>
        <w:jc w:val="center"/>
        <w:rPr>
          <w:rFonts w:ascii="黑体" w:hAnsi="黑体" w:eastAsia="黑体" w:cs="黑体"/>
          <w:b/>
          <w:bCs/>
          <w:sz w:val="44"/>
          <w:szCs w:val="44"/>
        </w:rPr>
        <w:sectPr>
          <w:pgSz w:w="11906" w:h="16838"/>
          <w:pgMar w:top="1417" w:right="1417" w:bottom="1417" w:left="1417" w:header="851" w:footer="992" w:gutter="0"/>
          <w:cols w:space="425" w:num="1"/>
          <w:docGrid w:type="lines" w:linePitch="312" w:charSpace="0"/>
        </w:sectPr>
      </w:pPr>
    </w:p>
    <w:p>
      <w:pPr>
        <w:spacing w:line="360" w:lineRule="auto"/>
        <w:jc w:val="center"/>
        <w:rPr>
          <w:rFonts w:ascii="黑体" w:hAnsi="黑体" w:eastAsia="黑体" w:cs="黑体"/>
          <w:b/>
          <w:bCs/>
          <w:sz w:val="44"/>
          <w:szCs w:val="44"/>
        </w:rPr>
      </w:pPr>
      <w:r>
        <w:rPr>
          <w:rFonts w:hint="eastAsia" w:ascii="黑体" w:hAnsi="黑体" w:eastAsia="黑体" w:cs="黑体"/>
          <w:b/>
          <w:bCs/>
          <w:sz w:val="44"/>
          <w:szCs w:val="44"/>
        </w:rPr>
        <w:t>汽车检测与维修技术专业人才培养方案</w:t>
      </w:r>
    </w:p>
    <w:p>
      <w:pPr>
        <w:spacing w:line="360" w:lineRule="auto"/>
        <w:jc w:val="center"/>
        <w:rPr>
          <w:rFonts w:ascii="黑体" w:hAnsi="黑体" w:eastAsia="黑体" w:cs="黑体"/>
          <w:b/>
          <w:bCs/>
          <w:sz w:val="44"/>
          <w:szCs w:val="44"/>
        </w:rPr>
      </w:pPr>
    </w:p>
    <w:p>
      <w:pPr>
        <w:spacing w:line="360" w:lineRule="auto"/>
        <w:ind w:firstLine="560" w:firstLineChars="200"/>
        <w:rPr>
          <w:rFonts w:ascii="仿宋" w:hAnsi="仿宋" w:eastAsia="仿宋"/>
          <w:b/>
          <w:bCs/>
          <w:sz w:val="28"/>
          <w:szCs w:val="28"/>
        </w:rPr>
      </w:pPr>
      <w:r>
        <w:rPr>
          <w:rFonts w:ascii="Times New Roman" w:hAnsi="Times New Roman" w:eastAsia="黑体"/>
          <w:sz w:val="28"/>
          <w:szCs w:val="28"/>
        </w:rPr>
        <w:t>一、专业名称及代码</w:t>
      </w:r>
    </w:p>
    <w:p>
      <w:pPr>
        <w:spacing w:line="360" w:lineRule="auto"/>
        <w:ind w:firstLine="422" w:firstLineChars="200"/>
        <w:rPr>
          <w:rFonts w:ascii="宋体" w:hAnsi="宋体" w:cs="宋体"/>
          <w:szCs w:val="21"/>
        </w:rPr>
      </w:pPr>
      <w:r>
        <w:rPr>
          <w:rFonts w:hint="eastAsia" w:ascii="宋体" w:hAnsi="宋体" w:cs="宋体"/>
          <w:b/>
          <w:bCs/>
          <w:szCs w:val="21"/>
        </w:rPr>
        <w:t xml:space="preserve">专业名称: </w:t>
      </w:r>
      <w:r>
        <w:rPr>
          <w:rFonts w:hint="eastAsia" w:ascii="宋体" w:hAnsi="宋体" w:cs="宋体"/>
          <w:szCs w:val="21"/>
        </w:rPr>
        <w:t xml:space="preserve">汽车检测与维修技术 </w:t>
      </w:r>
    </w:p>
    <w:p>
      <w:pPr>
        <w:spacing w:line="360" w:lineRule="auto"/>
        <w:ind w:firstLine="422" w:firstLineChars="200"/>
        <w:rPr>
          <w:rFonts w:ascii="宋体" w:hAnsi="宋体" w:cs="宋体"/>
          <w:szCs w:val="21"/>
        </w:rPr>
      </w:pPr>
      <w:r>
        <w:rPr>
          <w:rFonts w:hint="eastAsia" w:ascii="宋体" w:hAnsi="宋体" w:cs="宋体"/>
          <w:b/>
          <w:bCs/>
          <w:szCs w:val="21"/>
        </w:rPr>
        <w:t xml:space="preserve">专业代码: </w:t>
      </w:r>
      <w:r>
        <w:rPr>
          <w:rFonts w:hint="eastAsia" w:ascii="宋体" w:hAnsi="宋体" w:cs="宋体"/>
          <w:szCs w:val="21"/>
        </w:rPr>
        <w:t xml:space="preserve">500211 </w:t>
      </w:r>
    </w:p>
    <w:p>
      <w:pPr>
        <w:spacing w:line="360" w:lineRule="auto"/>
        <w:ind w:firstLine="560" w:firstLineChars="200"/>
        <w:rPr>
          <w:rFonts w:ascii="黑体" w:eastAsia="黑体"/>
          <w:b/>
          <w:bCs/>
          <w:sz w:val="30"/>
          <w:szCs w:val="30"/>
        </w:rPr>
      </w:pPr>
      <w:r>
        <w:rPr>
          <w:rFonts w:hint="eastAsia" w:ascii="Times New Roman" w:hAnsi="Times New Roman" w:eastAsia="黑体"/>
          <w:sz w:val="28"/>
          <w:szCs w:val="28"/>
        </w:rPr>
        <w:t>二</w:t>
      </w:r>
      <w:r>
        <w:rPr>
          <w:rFonts w:ascii="Times New Roman" w:hAnsi="Times New Roman" w:eastAsia="黑体"/>
          <w:sz w:val="28"/>
          <w:szCs w:val="28"/>
        </w:rPr>
        <w:t>、</w:t>
      </w:r>
      <w:r>
        <w:rPr>
          <w:rFonts w:hint="eastAsia" w:ascii="Times New Roman" w:hAnsi="Times New Roman" w:eastAsia="黑体"/>
          <w:sz w:val="28"/>
          <w:szCs w:val="28"/>
        </w:rPr>
        <w:t>入学要求</w:t>
      </w:r>
    </w:p>
    <w:p>
      <w:pPr>
        <w:spacing w:line="360" w:lineRule="auto"/>
        <w:ind w:firstLine="420" w:firstLineChars="200"/>
        <w:rPr>
          <w:rFonts w:ascii="黑体" w:eastAsia="黑体"/>
          <w:b/>
          <w:bCs/>
          <w:sz w:val="30"/>
          <w:szCs w:val="30"/>
        </w:rPr>
      </w:pPr>
      <w:r>
        <w:rPr>
          <w:rFonts w:hint="eastAsia" w:ascii="宋体" w:hAnsi="宋体" w:cs="宋体"/>
          <w:szCs w:val="21"/>
        </w:rPr>
        <w:t>高中阶段教育毕业生或具有同等学力者</w:t>
      </w:r>
    </w:p>
    <w:p>
      <w:pPr>
        <w:spacing w:line="360" w:lineRule="auto"/>
        <w:ind w:firstLine="560" w:firstLineChars="200"/>
        <w:rPr>
          <w:rFonts w:ascii="Times New Roman" w:hAnsi="Times New Roman" w:eastAsia="黑体"/>
          <w:sz w:val="28"/>
          <w:szCs w:val="28"/>
        </w:rPr>
      </w:pPr>
      <w:r>
        <w:rPr>
          <w:rFonts w:hint="eastAsia" w:ascii="Times New Roman" w:hAnsi="Times New Roman" w:eastAsia="黑体"/>
          <w:sz w:val="28"/>
          <w:szCs w:val="28"/>
        </w:rPr>
        <w:t>三、修业年限</w:t>
      </w:r>
    </w:p>
    <w:p>
      <w:pPr>
        <w:spacing w:line="360" w:lineRule="auto"/>
        <w:rPr>
          <w:rFonts w:ascii="宋体" w:hAnsi="宋体" w:cs="宋体"/>
          <w:szCs w:val="21"/>
        </w:rPr>
      </w:pPr>
      <w:r>
        <w:rPr>
          <w:rFonts w:hint="eastAsia" w:ascii="宋体" w:hAnsi="宋体"/>
          <w:b/>
          <w:bCs/>
          <w:color w:val="000000"/>
          <w:sz w:val="28"/>
          <w:szCs w:val="28"/>
        </w:rPr>
        <w:t xml:space="preserve">   </w:t>
      </w:r>
      <w:r>
        <w:rPr>
          <w:rFonts w:hint="eastAsia" w:ascii="宋体" w:hAnsi="宋体" w:cs="宋体"/>
          <w:szCs w:val="21"/>
        </w:rPr>
        <w:t>全日制三年</w:t>
      </w:r>
    </w:p>
    <w:p>
      <w:pPr>
        <w:spacing w:line="360" w:lineRule="auto"/>
        <w:ind w:firstLine="560" w:firstLineChars="200"/>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职业面向</w:t>
      </w:r>
    </w:p>
    <w:p>
      <w:pPr>
        <w:spacing w:line="360" w:lineRule="auto"/>
        <w:ind w:firstLine="420" w:firstLineChars="200"/>
        <w:rPr>
          <w:rFonts w:ascii="宋体" w:hAnsi="宋体" w:cs="微软雅黑"/>
          <w:szCs w:val="21"/>
        </w:rPr>
      </w:pPr>
      <w:r>
        <w:rPr>
          <w:rFonts w:hint="eastAsia" w:ascii="宋体" w:hAnsi="宋体" w:cs="微软雅黑"/>
          <w:szCs w:val="21"/>
        </w:rPr>
        <w:t>汽车检测与维修技术专业职业面向一览表如表一所示。</w:t>
      </w:r>
    </w:p>
    <w:p>
      <w:pPr>
        <w:spacing w:line="360" w:lineRule="auto"/>
        <w:jc w:val="center"/>
        <w:rPr>
          <w:rFonts w:ascii="黑体" w:eastAsia="黑体"/>
          <w:b/>
          <w:bCs/>
          <w:sz w:val="30"/>
          <w:szCs w:val="30"/>
        </w:rPr>
      </w:pPr>
      <w:r>
        <w:rPr>
          <w:rFonts w:hint="eastAsia" w:ascii="宋体" w:hAnsi="宋体" w:cs="微软雅黑"/>
          <w:szCs w:val="21"/>
        </w:rPr>
        <w:t>表一</w:t>
      </w:r>
      <w:r>
        <w:rPr>
          <w:rFonts w:ascii="宋体" w:hAnsi="宋体" w:cs="微软雅黑"/>
          <w:szCs w:val="21"/>
        </w:rPr>
        <w:t xml:space="preserve">  </w:t>
      </w:r>
      <w:r>
        <w:rPr>
          <w:rFonts w:hint="eastAsia" w:ascii="宋体" w:hAnsi="宋体" w:cs="微软雅黑"/>
          <w:szCs w:val="21"/>
        </w:rPr>
        <w:t>汽车检测与维修技术专业职业面向一览表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1276"/>
        <w:gridCol w:w="1418"/>
        <w:gridCol w:w="1571"/>
        <w:gridCol w:w="1724"/>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vAlign w:val="center"/>
          </w:tcPr>
          <w:p>
            <w:pPr>
              <w:jc w:val="center"/>
              <w:rPr>
                <w:rFonts w:ascii="宋体" w:hAnsi="宋体" w:cs="宋体"/>
                <w:b/>
                <w:szCs w:val="21"/>
              </w:rPr>
            </w:pPr>
            <w:r>
              <w:rPr>
                <w:rFonts w:hint="eastAsia" w:ascii="宋体" w:hAnsi="宋体" w:cs="宋体"/>
                <w:b/>
                <w:szCs w:val="21"/>
              </w:rPr>
              <w:t>所属专业大类(代码)</w:t>
            </w:r>
          </w:p>
        </w:tc>
        <w:tc>
          <w:tcPr>
            <w:tcW w:w="1276" w:type="dxa"/>
            <w:vAlign w:val="center"/>
          </w:tcPr>
          <w:p>
            <w:pPr>
              <w:jc w:val="center"/>
              <w:rPr>
                <w:rFonts w:ascii="宋体" w:hAnsi="宋体" w:cs="宋体"/>
                <w:b/>
                <w:szCs w:val="21"/>
              </w:rPr>
            </w:pPr>
            <w:r>
              <w:rPr>
                <w:rFonts w:hint="eastAsia" w:ascii="宋体" w:hAnsi="宋体" w:cs="宋体"/>
                <w:b/>
                <w:szCs w:val="21"/>
              </w:rPr>
              <w:t>所属专业类(代码)</w:t>
            </w:r>
          </w:p>
        </w:tc>
        <w:tc>
          <w:tcPr>
            <w:tcW w:w="1418" w:type="dxa"/>
            <w:vAlign w:val="center"/>
          </w:tcPr>
          <w:p>
            <w:pPr>
              <w:jc w:val="center"/>
              <w:rPr>
                <w:rFonts w:ascii="宋体" w:hAnsi="宋体" w:cs="宋体"/>
                <w:b/>
                <w:szCs w:val="21"/>
              </w:rPr>
            </w:pPr>
            <w:r>
              <w:rPr>
                <w:rFonts w:hint="eastAsia" w:ascii="宋体" w:hAnsi="宋体" w:cs="宋体"/>
                <w:b/>
                <w:szCs w:val="21"/>
              </w:rPr>
              <w:t>对应行业</w:t>
            </w:r>
          </w:p>
          <w:p>
            <w:pPr>
              <w:jc w:val="center"/>
              <w:rPr>
                <w:rFonts w:ascii="宋体" w:hAnsi="宋体" w:cs="宋体"/>
                <w:b/>
                <w:szCs w:val="21"/>
              </w:rPr>
            </w:pPr>
            <w:r>
              <w:rPr>
                <w:rFonts w:hint="eastAsia" w:ascii="宋体" w:hAnsi="宋体" w:cs="宋体"/>
                <w:b/>
                <w:szCs w:val="21"/>
              </w:rPr>
              <w:t>(代码)</w:t>
            </w:r>
          </w:p>
        </w:tc>
        <w:tc>
          <w:tcPr>
            <w:tcW w:w="1571" w:type="dxa"/>
            <w:vAlign w:val="center"/>
          </w:tcPr>
          <w:p>
            <w:pPr>
              <w:jc w:val="center"/>
              <w:rPr>
                <w:rFonts w:ascii="宋体" w:hAnsi="宋体" w:cs="宋体"/>
                <w:b/>
                <w:szCs w:val="21"/>
              </w:rPr>
            </w:pPr>
            <w:r>
              <w:rPr>
                <w:rFonts w:hint="eastAsia" w:ascii="宋体" w:hAnsi="宋体" w:cs="宋体"/>
                <w:b/>
                <w:szCs w:val="21"/>
              </w:rPr>
              <w:t>主要职业类别 (代码)</w:t>
            </w:r>
          </w:p>
        </w:tc>
        <w:tc>
          <w:tcPr>
            <w:tcW w:w="1724" w:type="dxa"/>
            <w:vAlign w:val="center"/>
          </w:tcPr>
          <w:p>
            <w:pPr>
              <w:jc w:val="center"/>
              <w:rPr>
                <w:rFonts w:ascii="宋体" w:hAnsi="宋体" w:cs="宋体"/>
                <w:b/>
                <w:szCs w:val="21"/>
              </w:rPr>
            </w:pPr>
            <w:r>
              <w:rPr>
                <w:rFonts w:hint="eastAsia" w:ascii="宋体" w:hAnsi="宋体" w:cs="宋体"/>
                <w:b/>
                <w:szCs w:val="21"/>
              </w:rPr>
              <w:t>主要岗位类别(或技术领域)</w:t>
            </w:r>
          </w:p>
        </w:tc>
        <w:tc>
          <w:tcPr>
            <w:tcW w:w="1291" w:type="dxa"/>
            <w:vAlign w:val="center"/>
          </w:tcPr>
          <w:p>
            <w:pPr>
              <w:jc w:val="center"/>
              <w:rPr>
                <w:rFonts w:ascii="宋体" w:hAnsi="宋体" w:cs="宋体"/>
                <w:b/>
                <w:szCs w:val="21"/>
              </w:rPr>
            </w:pPr>
            <w:r>
              <w:rPr>
                <w:rFonts w:hint="eastAsia" w:ascii="宋体" w:hAnsi="宋体" w:cs="宋体"/>
                <w:b/>
                <w:szCs w:val="21"/>
              </w:rPr>
              <w:t>职业技能证书或技能等级证书举例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jc w:val="center"/>
        </w:trPr>
        <w:tc>
          <w:tcPr>
            <w:tcW w:w="1611" w:type="dxa"/>
            <w:vAlign w:val="center"/>
          </w:tcPr>
          <w:p>
            <w:pPr>
              <w:jc w:val="center"/>
              <w:rPr>
                <w:rFonts w:ascii="宋体" w:hAnsi="宋体" w:cs="宋体"/>
                <w:szCs w:val="21"/>
              </w:rPr>
            </w:pPr>
            <w:r>
              <w:rPr>
                <w:rFonts w:hint="eastAsia" w:ascii="宋体" w:hAnsi="宋体" w:cs="宋体"/>
                <w:szCs w:val="21"/>
              </w:rPr>
              <w:t>交通运输大类（50）</w:t>
            </w:r>
          </w:p>
        </w:tc>
        <w:tc>
          <w:tcPr>
            <w:tcW w:w="1276" w:type="dxa"/>
            <w:vAlign w:val="center"/>
          </w:tcPr>
          <w:p>
            <w:pPr>
              <w:jc w:val="center"/>
              <w:rPr>
                <w:rFonts w:ascii="宋体" w:hAnsi="宋体" w:cs="宋体"/>
                <w:szCs w:val="21"/>
              </w:rPr>
            </w:pPr>
            <w:r>
              <w:rPr>
                <w:rFonts w:hint="eastAsia" w:ascii="宋体" w:hAnsi="宋体" w:cs="宋体"/>
                <w:szCs w:val="21"/>
              </w:rPr>
              <w:t>道路运输类（5002）</w:t>
            </w:r>
          </w:p>
        </w:tc>
        <w:tc>
          <w:tcPr>
            <w:tcW w:w="1418" w:type="dxa"/>
            <w:vAlign w:val="center"/>
          </w:tcPr>
          <w:p>
            <w:pPr>
              <w:jc w:val="center"/>
              <w:rPr>
                <w:rFonts w:ascii="宋体" w:hAnsi="宋体" w:cs="宋体"/>
                <w:szCs w:val="21"/>
              </w:rPr>
            </w:pPr>
            <w:r>
              <w:rPr>
                <w:rFonts w:hint="eastAsia" w:ascii="宋体" w:hAnsi="宋体" w:cs="宋体"/>
                <w:szCs w:val="21"/>
              </w:rPr>
              <w:t xml:space="preserve">汽车制造业    </w:t>
            </w:r>
          </w:p>
          <w:p>
            <w:pPr>
              <w:jc w:val="center"/>
              <w:rPr>
                <w:rFonts w:ascii="宋体" w:hAnsi="宋体" w:cs="宋体"/>
                <w:szCs w:val="21"/>
              </w:rPr>
            </w:pPr>
            <w:r>
              <w:rPr>
                <w:rFonts w:hint="eastAsia" w:ascii="宋体" w:hAnsi="宋体" w:cs="宋体"/>
                <w:szCs w:val="21"/>
              </w:rPr>
              <w:t>汽车服务业</w:t>
            </w:r>
          </w:p>
        </w:tc>
        <w:tc>
          <w:tcPr>
            <w:tcW w:w="1571" w:type="dxa"/>
            <w:vAlign w:val="center"/>
          </w:tcPr>
          <w:p>
            <w:pPr>
              <w:pStyle w:val="14"/>
              <w:jc w:val="center"/>
              <w:rPr>
                <w:rFonts w:hAnsi="宋体"/>
                <w:color w:val="auto"/>
                <w:kern w:val="2"/>
                <w:sz w:val="21"/>
                <w:szCs w:val="21"/>
              </w:rPr>
            </w:pPr>
            <w:r>
              <w:rPr>
                <w:rFonts w:hint="eastAsia" w:hAnsi="宋体"/>
                <w:color w:val="auto"/>
                <w:kern w:val="2"/>
                <w:sz w:val="21"/>
                <w:szCs w:val="21"/>
              </w:rPr>
              <w:t xml:space="preserve">汽车摩托车修理技术服务人员 </w:t>
            </w:r>
          </w:p>
          <w:p>
            <w:pPr>
              <w:pStyle w:val="14"/>
              <w:jc w:val="center"/>
              <w:rPr>
                <w:rFonts w:hAnsi="宋体"/>
                <w:color w:val="auto"/>
                <w:kern w:val="2"/>
                <w:sz w:val="21"/>
                <w:szCs w:val="21"/>
              </w:rPr>
            </w:pPr>
            <w:r>
              <w:rPr>
                <w:rFonts w:hint="eastAsia" w:hAnsi="宋体"/>
                <w:color w:val="auto"/>
                <w:kern w:val="2"/>
                <w:sz w:val="21"/>
                <w:szCs w:val="21"/>
              </w:rPr>
              <w:t xml:space="preserve">检验试验人员 </w:t>
            </w:r>
          </w:p>
          <w:p>
            <w:pPr>
              <w:jc w:val="center"/>
              <w:rPr>
                <w:rFonts w:ascii="宋体" w:hAnsi="宋体" w:cs="宋体"/>
                <w:szCs w:val="21"/>
              </w:rPr>
            </w:pPr>
            <w:r>
              <w:rPr>
                <w:rFonts w:hint="eastAsia" w:ascii="宋体" w:hAnsi="宋体" w:cs="宋体"/>
                <w:szCs w:val="21"/>
              </w:rPr>
              <w:t xml:space="preserve">商务专业人员 </w:t>
            </w:r>
          </w:p>
        </w:tc>
        <w:tc>
          <w:tcPr>
            <w:tcW w:w="1724" w:type="dxa"/>
            <w:vAlign w:val="center"/>
          </w:tcPr>
          <w:p>
            <w:pPr>
              <w:jc w:val="center"/>
              <w:rPr>
                <w:rFonts w:ascii="宋体" w:hAnsi="宋体" w:cs="宋体"/>
                <w:szCs w:val="21"/>
              </w:rPr>
            </w:pPr>
            <w:r>
              <w:rPr>
                <w:rFonts w:hint="eastAsia" w:ascii="宋体" w:hAnsi="宋体" w:cs="宋体"/>
                <w:szCs w:val="21"/>
              </w:rPr>
              <w:t>机电维修、维修接待、配件管理、钣金、喷漆、保险理赔</w:t>
            </w:r>
          </w:p>
        </w:tc>
        <w:tc>
          <w:tcPr>
            <w:tcW w:w="1291" w:type="dxa"/>
            <w:vAlign w:val="center"/>
          </w:tcPr>
          <w:p>
            <w:pPr>
              <w:jc w:val="center"/>
              <w:rPr>
                <w:rFonts w:ascii="宋体" w:hAnsi="宋体" w:cs="宋体"/>
                <w:szCs w:val="21"/>
              </w:rPr>
            </w:pPr>
            <w:r>
              <w:rPr>
                <w:rFonts w:hint="eastAsia" w:ascii="宋体" w:hAnsi="宋体" w:cs="宋体"/>
                <w:szCs w:val="21"/>
              </w:rPr>
              <w:t>汽车维修工中、高级证书、二手车评估师证</w:t>
            </w:r>
          </w:p>
        </w:tc>
      </w:tr>
    </w:tbl>
    <w:p>
      <w:pPr>
        <w:spacing w:before="312" w:beforeLines="100" w:line="360" w:lineRule="auto"/>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五</w:t>
      </w:r>
      <w:r>
        <w:rPr>
          <w:rFonts w:ascii="Times New Roman" w:hAnsi="Times New Roman" w:eastAsia="黑体"/>
          <w:sz w:val="28"/>
          <w:szCs w:val="28"/>
        </w:rPr>
        <w:t>、培养目标与</w:t>
      </w:r>
      <w:r>
        <w:rPr>
          <w:rFonts w:hint="eastAsia" w:ascii="Times New Roman" w:hAnsi="Times New Roman" w:eastAsia="黑体"/>
          <w:sz w:val="28"/>
          <w:szCs w:val="28"/>
        </w:rPr>
        <w:t>培养</w:t>
      </w:r>
      <w:r>
        <w:rPr>
          <w:rFonts w:ascii="Times New Roman" w:hAnsi="Times New Roman" w:eastAsia="黑体"/>
          <w:sz w:val="28"/>
          <w:szCs w:val="28"/>
        </w:rPr>
        <w:t>规格</w:t>
      </w:r>
    </w:p>
    <w:p>
      <w:pPr>
        <w:pStyle w:val="15"/>
        <w:rPr>
          <w:rFonts w:ascii="黑体" w:hAnsi="黑体" w:eastAsia="黑体"/>
        </w:rPr>
      </w:pPr>
      <w:r>
        <w:rPr>
          <w:rFonts w:hint="eastAsia" w:ascii="黑体" w:hAnsi="黑体" w:eastAsia="黑体"/>
        </w:rPr>
        <w:t>（一）</w:t>
      </w:r>
      <w:r>
        <w:rPr>
          <w:rFonts w:ascii="黑体" w:hAnsi="黑体" w:eastAsia="黑体"/>
        </w:rPr>
        <w:t>培养目标</w:t>
      </w:r>
    </w:p>
    <w:p>
      <w:pPr>
        <w:spacing w:line="360" w:lineRule="auto"/>
        <w:ind w:firstLine="420" w:firstLineChars="200"/>
        <w:rPr>
          <w:rFonts w:ascii="宋体" w:hAnsi="宋体" w:cs="宋体"/>
          <w:szCs w:val="21"/>
        </w:rPr>
      </w:pPr>
      <w:r>
        <w:rPr>
          <w:rFonts w:hint="eastAsia" w:ascii="宋体" w:hAnsi="宋体" w:cs="宋体"/>
          <w:szCs w:val="21"/>
        </w:rPr>
        <w:t>本专业培养理想信念坚定，德、智、体、美、劳全面发展的中国特色社会主义现代化建设事业需要的建设者和接班人。本专业围绕交通运输服务业的行业需求，面向汽车检测技术员、汽车维修技术员、汽车制造技术员、汽车销售员和企业管理技术人员等职业群，培养扎实掌握本专业知识和技术技能，能够从事汽车检测、维修、制造、营销和企业管理等工作，具备一定的人文素养、科学素养、创新意识、工匠精神和较强的就业创业能力、可持续发展能力与国际视野的复合式、创新型、高素质技术技能人才。</w:t>
      </w:r>
    </w:p>
    <w:p>
      <w:pPr>
        <w:pStyle w:val="15"/>
        <w:rPr>
          <w:rFonts w:ascii="黑体" w:hAnsi="黑体" w:eastAsia="黑体"/>
        </w:rPr>
      </w:pPr>
      <w:r>
        <w:rPr>
          <w:rFonts w:hint="eastAsia" w:ascii="黑体" w:hAnsi="黑体" w:eastAsia="黑体"/>
        </w:rPr>
        <w:t>（二）培养规格</w:t>
      </w:r>
    </w:p>
    <w:p>
      <w:pPr>
        <w:spacing w:line="360" w:lineRule="auto"/>
        <w:ind w:firstLine="422" w:firstLineChars="200"/>
        <w:rPr>
          <w:rFonts w:ascii="宋体" w:hAnsi="宋体"/>
          <w:b/>
          <w:szCs w:val="21"/>
        </w:rPr>
      </w:pPr>
      <w:r>
        <w:rPr>
          <w:rFonts w:hint="eastAsia" w:ascii="宋体" w:hAnsi="宋体"/>
          <w:b/>
          <w:szCs w:val="21"/>
        </w:rPr>
        <w:t>1.素质</w:t>
      </w:r>
    </w:p>
    <w:p>
      <w:pPr>
        <w:spacing w:line="360" w:lineRule="auto"/>
        <w:ind w:firstLine="420" w:firstLineChars="200"/>
        <w:rPr>
          <w:rFonts w:ascii="宋体" w:hAnsi="宋体" w:cs="微软雅黑"/>
          <w:szCs w:val="21"/>
        </w:rPr>
      </w:pPr>
      <w:r>
        <w:rPr>
          <w:rFonts w:hint="eastAsia" w:ascii="宋体" w:hAnsi="宋体" w:cs="微软雅黑"/>
          <w:szCs w:val="21"/>
        </w:rPr>
        <w:t>（1）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w:t>
      </w:r>
    </w:p>
    <w:p>
      <w:pPr>
        <w:spacing w:line="360" w:lineRule="auto"/>
        <w:ind w:firstLine="420" w:firstLineChars="200"/>
        <w:rPr>
          <w:rFonts w:ascii="宋体" w:hAnsi="宋体" w:cs="微软雅黑"/>
          <w:szCs w:val="21"/>
        </w:rPr>
      </w:pPr>
      <w:r>
        <w:rPr>
          <w:rFonts w:hint="eastAsia" w:ascii="宋体" w:hAnsi="宋体" w:cs="微软雅黑"/>
          <w:szCs w:val="21"/>
        </w:rPr>
        <w:t>（2）具有良好的职业道德和职业素养。崇德向善、诚实守信、爱岗敬业</w:t>
      </w:r>
      <w:r>
        <w:rPr>
          <w:rFonts w:ascii="宋体" w:hAnsi="宋体" w:cs="微软雅黑"/>
          <w:szCs w:val="21"/>
        </w:rPr>
        <w:t>，</w:t>
      </w:r>
      <w:r>
        <w:rPr>
          <w:rFonts w:hint="eastAsia" w:ascii="宋体" w:hAnsi="宋体" w:cs="微软雅黑"/>
          <w:szCs w:val="21"/>
        </w:rPr>
        <w:t>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pPr>
        <w:spacing w:line="360" w:lineRule="auto"/>
        <w:ind w:firstLine="420" w:firstLineChars="200"/>
        <w:rPr>
          <w:rFonts w:ascii="宋体" w:hAnsi="宋体" w:cs="微软雅黑"/>
          <w:szCs w:val="21"/>
        </w:rPr>
      </w:pPr>
      <w:r>
        <w:rPr>
          <w:rFonts w:hint="eastAsia" w:ascii="宋体" w:hAnsi="宋体" w:cs="微软雅黑"/>
          <w:szCs w:val="21"/>
        </w:rPr>
        <w:t>（3）具有良好的身心素质和人文素养</w:t>
      </w:r>
      <w:r>
        <w:rPr>
          <w:rFonts w:ascii="宋体" w:hAnsi="宋体" w:cs="微软雅黑"/>
          <w:szCs w:val="21"/>
        </w:rPr>
        <w:t>。</w:t>
      </w:r>
      <w:r>
        <w:rPr>
          <w:rFonts w:hint="eastAsia" w:ascii="宋体" w:hAnsi="宋体" w:cs="微软雅黑"/>
          <w:szCs w:val="21"/>
        </w:rPr>
        <w:t>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pPr>
        <w:spacing w:line="360" w:lineRule="auto"/>
        <w:ind w:firstLine="422" w:firstLineChars="200"/>
        <w:rPr>
          <w:rFonts w:ascii="宋体" w:hAnsi="宋体" w:cs="宋体"/>
          <w:b/>
          <w:szCs w:val="21"/>
        </w:rPr>
      </w:pPr>
      <w:r>
        <w:rPr>
          <w:rFonts w:hint="eastAsia" w:ascii="宋体" w:hAnsi="宋体" w:cs="宋体"/>
          <w:b/>
          <w:szCs w:val="21"/>
        </w:rPr>
        <w:t>2.知识</w:t>
      </w:r>
    </w:p>
    <w:p>
      <w:pPr>
        <w:spacing w:line="360" w:lineRule="auto"/>
        <w:ind w:firstLine="420" w:firstLineChars="200"/>
        <w:rPr>
          <w:rFonts w:ascii="宋体" w:hAnsi="宋体" w:cs="宋体"/>
          <w:szCs w:val="21"/>
        </w:rPr>
      </w:pPr>
      <w:r>
        <w:rPr>
          <w:rFonts w:hint="eastAsia" w:ascii="宋体" w:hAnsi="宋体" w:cs="宋体"/>
          <w:szCs w:val="21"/>
        </w:rPr>
        <w:t xml:space="preserve">（1）掌握基本的思想政治理论知识、法律法规知识。 </w:t>
      </w:r>
    </w:p>
    <w:p>
      <w:pPr>
        <w:spacing w:line="360" w:lineRule="auto"/>
        <w:ind w:firstLine="420" w:firstLineChars="200"/>
        <w:rPr>
          <w:rFonts w:ascii="宋体" w:hAnsi="宋体" w:cs="宋体"/>
          <w:szCs w:val="21"/>
        </w:rPr>
      </w:pPr>
      <w:r>
        <w:rPr>
          <w:rFonts w:hint="eastAsia" w:ascii="宋体" w:hAnsi="宋体" w:cs="宋体"/>
          <w:szCs w:val="21"/>
        </w:rPr>
        <w:t xml:space="preserve">（2）熟悉计算机及网络应用基本知识。 </w:t>
      </w:r>
    </w:p>
    <w:p>
      <w:pPr>
        <w:spacing w:line="360" w:lineRule="auto"/>
        <w:ind w:firstLine="420" w:firstLineChars="200"/>
        <w:rPr>
          <w:rFonts w:ascii="宋体" w:hAnsi="宋体" w:cs="宋体"/>
          <w:szCs w:val="21"/>
        </w:rPr>
      </w:pPr>
      <w:r>
        <w:rPr>
          <w:rFonts w:hint="eastAsia" w:ascii="宋体" w:hAnsi="宋体" w:cs="宋体"/>
          <w:szCs w:val="21"/>
        </w:rPr>
        <w:t xml:space="preserve">（3）掌握一定的体育和军事基本知识。 </w:t>
      </w:r>
    </w:p>
    <w:p>
      <w:pPr>
        <w:spacing w:line="360" w:lineRule="auto"/>
        <w:ind w:firstLine="420" w:firstLineChars="200"/>
        <w:rPr>
          <w:rFonts w:ascii="宋体" w:hAnsi="宋体" w:cs="宋体"/>
          <w:szCs w:val="21"/>
        </w:rPr>
      </w:pPr>
      <w:r>
        <w:rPr>
          <w:rFonts w:hint="eastAsia" w:ascii="宋体" w:hAnsi="宋体" w:cs="宋体"/>
          <w:szCs w:val="21"/>
        </w:rPr>
        <w:t xml:space="preserve">（4）掌握与基础技能相适应的识图、测量、机械基础、液压传动等基本知识。 </w:t>
      </w:r>
    </w:p>
    <w:p>
      <w:pPr>
        <w:spacing w:line="360" w:lineRule="auto"/>
        <w:ind w:firstLine="420" w:firstLineChars="200"/>
        <w:rPr>
          <w:rFonts w:ascii="宋体" w:hAnsi="宋体" w:cs="宋体"/>
          <w:szCs w:val="21"/>
        </w:rPr>
      </w:pPr>
      <w:r>
        <w:rPr>
          <w:rFonts w:hint="eastAsia" w:ascii="宋体" w:hAnsi="宋体" w:cs="宋体"/>
          <w:szCs w:val="21"/>
        </w:rPr>
        <w:t>（5）掌握较简单电路的分析知识。</w:t>
      </w:r>
    </w:p>
    <w:p>
      <w:pPr>
        <w:spacing w:line="360" w:lineRule="auto"/>
        <w:ind w:firstLine="420" w:firstLineChars="200"/>
        <w:rPr>
          <w:rFonts w:ascii="宋体" w:hAnsi="宋体" w:cs="宋体"/>
          <w:szCs w:val="21"/>
        </w:rPr>
      </w:pPr>
      <w:r>
        <w:rPr>
          <w:rFonts w:hint="eastAsia" w:ascii="宋体" w:hAnsi="宋体" w:cs="宋体"/>
          <w:szCs w:val="21"/>
        </w:rPr>
        <w:t xml:space="preserve">（6）掌握常用电子电路的工作原理分析和常用电子元件的使用知识。 </w:t>
      </w:r>
    </w:p>
    <w:p>
      <w:pPr>
        <w:spacing w:line="360" w:lineRule="auto"/>
        <w:ind w:firstLine="420" w:firstLineChars="200"/>
        <w:rPr>
          <w:rFonts w:ascii="宋体" w:hAnsi="宋体" w:cs="宋体"/>
          <w:szCs w:val="21"/>
        </w:rPr>
      </w:pPr>
      <w:r>
        <w:rPr>
          <w:rFonts w:hint="eastAsia" w:ascii="宋体" w:hAnsi="宋体" w:cs="宋体"/>
          <w:szCs w:val="21"/>
        </w:rPr>
        <w:t xml:space="preserve">（7）掌握各种汽车的结构和工作原理。 </w:t>
      </w:r>
    </w:p>
    <w:p>
      <w:pPr>
        <w:spacing w:line="360" w:lineRule="auto"/>
        <w:ind w:firstLine="420" w:firstLineChars="200"/>
        <w:rPr>
          <w:rFonts w:ascii="宋体" w:hAnsi="宋体" w:cs="宋体"/>
          <w:szCs w:val="21"/>
        </w:rPr>
      </w:pPr>
      <w:r>
        <w:rPr>
          <w:rFonts w:hint="eastAsia" w:ascii="宋体" w:hAnsi="宋体" w:cs="宋体"/>
          <w:szCs w:val="21"/>
        </w:rPr>
        <w:t xml:space="preserve">（8）掌握汽车综合性能的评价参数和影响因素。 </w:t>
      </w:r>
    </w:p>
    <w:p>
      <w:pPr>
        <w:spacing w:line="360" w:lineRule="auto"/>
        <w:ind w:firstLine="420" w:firstLineChars="200"/>
        <w:rPr>
          <w:rFonts w:ascii="宋体" w:hAnsi="宋体" w:cs="宋体"/>
          <w:szCs w:val="21"/>
        </w:rPr>
      </w:pPr>
      <w:r>
        <w:rPr>
          <w:rFonts w:hint="eastAsia" w:ascii="宋体" w:hAnsi="宋体" w:cs="宋体"/>
          <w:szCs w:val="21"/>
        </w:rPr>
        <w:t xml:space="preserve">（9）掌握汽车维护维修专业知识。 </w:t>
      </w:r>
    </w:p>
    <w:p>
      <w:pPr>
        <w:spacing w:line="360" w:lineRule="auto"/>
        <w:ind w:firstLine="420" w:firstLineChars="200"/>
        <w:rPr>
          <w:rFonts w:ascii="宋体" w:hAnsi="宋体" w:cs="宋体"/>
          <w:szCs w:val="21"/>
        </w:rPr>
      </w:pPr>
      <w:r>
        <w:rPr>
          <w:rFonts w:hint="eastAsia" w:ascii="宋体" w:hAnsi="宋体" w:cs="宋体"/>
          <w:szCs w:val="21"/>
        </w:rPr>
        <w:t>（10）掌握合理使用汽车和运行材料的理论知识。</w:t>
      </w:r>
    </w:p>
    <w:p>
      <w:pPr>
        <w:spacing w:line="360" w:lineRule="auto"/>
        <w:ind w:firstLine="420" w:firstLineChars="200"/>
        <w:rPr>
          <w:rFonts w:ascii="宋体" w:hAnsi="宋体" w:cs="宋体"/>
          <w:szCs w:val="21"/>
        </w:rPr>
      </w:pPr>
      <w:r>
        <w:rPr>
          <w:rFonts w:hint="eastAsia" w:ascii="宋体" w:hAnsi="宋体" w:cs="宋体"/>
          <w:szCs w:val="21"/>
        </w:rPr>
        <w:t>（11）掌握企业经营管理、汽车及其配件营销与售后服务的基本理论知。</w:t>
      </w:r>
    </w:p>
    <w:p>
      <w:pPr>
        <w:spacing w:line="360" w:lineRule="auto"/>
        <w:ind w:firstLine="420" w:firstLineChars="200"/>
        <w:rPr>
          <w:rFonts w:ascii="宋体" w:hAnsi="宋体" w:cs="宋体"/>
          <w:szCs w:val="21"/>
        </w:rPr>
      </w:pPr>
      <w:r>
        <w:rPr>
          <w:rFonts w:hint="eastAsia" w:ascii="宋体" w:hAnsi="宋体" w:cs="宋体"/>
          <w:szCs w:val="21"/>
        </w:rPr>
        <w:t>（12）掌握汽车保险理赔相关知识。</w:t>
      </w:r>
    </w:p>
    <w:p>
      <w:pPr>
        <w:spacing w:line="360" w:lineRule="auto"/>
        <w:ind w:firstLine="422" w:firstLineChars="200"/>
        <w:rPr>
          <w:rFonts w:ascii="宋体" w:hAnsi="宋体" w:cs="宋体"/>
          <w:b/>
          <w:szCs w:val="21"/>
        </w:rPr>
      </w:pPr>
      <w:r>
        <w:rPr>
          <w:rFonts w:hint="eastAsia" w:ascii="宋体" w:hAnsi="宋体" w:cs="宋体"/>
          <w:b/>
          <w:szCs w:val="21"/>
        </w:rPr>
        <w:t>3.能力</w:t>
      </w:r>
    </w:p>
    <w:p>
      <w:pPr>
        <w:spacing w:line="360" w:lineRule="auto"/>
        <w:ind w:firstLine="420" w:firstLineChars="200"/>
        <w:rPr>
          <w:rFonts w:ascii="宋体" w:hAnsi="宋体" w:cs="宋体"/>
          <w:szCs w:val="21"/>
        </w:rPr>
      </w:pPr>
      <w:r>
        <w:rPr>
          <w:rFonts w:hint="eastAsia" w:ascii="宋体" w:hAnsi="宋体" w:cs="宋体"/>
          <w:szCs w:val="21"/>
        </w:rPr>
        <w:t xml:space="preserve">（1）具有良好的语言文字表达能力、组织协调与事务处理能力、沟通交流及社会适应能力。 </w:t>
      </w:r>
    </w:p>
    <w:p>
      <w:pPr>
        <w:spacing w:line="360" w:lineRule="auto"/>
        <w:ind w:firstLine="420" w:firstLineChars="200"/>
        <w:rPr>
          <w:rFonts w:ascii="宋体" w:hAnsi="宋体" w:cs="宋体"/>
          <w:szCs w:val="21"/>
        </w:rPr>
      </w:pPr>
      <w:r>
        <w:rPr>
          <w:rFonts w:hint="eastAsia" w:ascii="宋体" w:hAnsi="宋体" w:cs="宋体"/>
          <w:szCs w:val="21"/>
        </w:rPr>
        <w:t xml:space="preserve">（2）具有终身学习能力、独立思考、逻辑推理、信息加工能力。 </w:t>
      </w:r>
    </w:p>
    <w:p>
      <w:pPr>
        <w:spacing w:line="360" w:lineRule="auto"/>
        <w:ind w:firstLine="420" w:firstLineChars="200"/>
        <w:rPr>
          <w:rFonts w:ascii="宋体" w:hAnsi="宋体" w:cs="宋体"/>
          <w:szCs w:val="21"/>
        </w:rPr>
      </w:pPr>
      <w:r>
        <w:rPr>
          <w:rFonts w:hint="eastAsia" w:ascii="宋体" w:hAnsi="宋体" w:cs="宋体"/>
          <w:szCs w:val="21"/>
        </w:rPr>
        <w:t xml:space="preserve">（3）具有运用电脑进行文字处理、网络信息技术的基本应用能力。 </w:t>
      </w:r>
    </w:p>
    <w:p>
      <w:pPr>
        <w:spacing w:line="360" w:lineRule="auto"/>
        <w:ind w:firstLine="420" w:firstLineChars="200"/>
        <w:rPr>
          <w:rFonts w:ascii="宋体" w:hAnsi="宋体" w:cs="宋体"/>
          <w:szCs w:val="21"/>
        </w:rPr>
      </w:pPr>
      <w:r>
        <w:rPr>
          <w:rFonts w:hint="eastAsia" w:ascii="宋体" w:hAnsi="宋体" w:cs="宋体"/>
          <w:szCs w:val="21"/>
        </w:rPr>
        <w:t xml:space="preserve">（4）具有良好的英文阅读、写作与口语交流能力。 </w:t>
      </w:r>
    </w:p>
    <w:p>
      <w:pPr>
        <w:spacing w:line="360" w:lineRule="auto"/>
        <w:ind w:firstLine="420" w:firstLineChars="200"/>
        <w:rPr>
          <w:rFonts w:ascii="宋体" w:hAnsi="宋体" w:cs="宋体"/>
          <w:szCs w:val="21"/>
        </w:rPr>
      </w:pPr>
      <w:r>
        <w:rPr>
          <w:rFonts w:hint="eastAsia" w:ascii="宋体" w:hAnsi="宋体" w:cs="宋体"/>
          <w:szCs w:val="21"/>
        </w:rPr>
        <w:t>（5）具有汽车一般使用维护能力。</w:t>
      </w:r>
    </w:p>
    <w:p>
      <w:pPr>
        <w:spacing w:line="360" w:lineRule="auto"/>
        <w:ind w:firstLine="420" w:firstLineChars="200"/>
        <w:rPr>
          <w:rFonts w:ascii="宋体" w:hAnsi="宋体" w:cs="宋体"/>
          <w:szCs w:val="21"/>
        </w:rPr>
      </w:pPr>
      <w:r>
        <w:rPr>
          <w:rFonts w:hint="eastAsia" w:ascii="宋体" w:hAnsi="宋体" w:cs="宋体"/>
          <w:szCs w:val="21"/>
        </w:rPr>
        <w:t xml:space="preserve">（6）汽车技术状况的诊断与检测能力。 </w:t>
      </w:r>
    </w:p>
    <w:p>
      <w:pPr>
        <w:spacing w:line="360" w:lineRule="auto"/>
        <w:ind w:firstLine="420" w:firstLineChars="200"/>
        <w:rPr>
          <w:rFonts w:ascii="宋体" w:hAnsi="宋体" w:cs="宋体"/>
          <w:szCs w:val="21"/>
        </w:rPr>
      </w:pPr>
      <w:r>
        <w:rPr>
          <w:rFonts w:hint="eastAsia" w:ascii="宋体" w:hAnsi="宋体" w:cs="宋体"/>
          <w:szCs w:val="21"/>
        </w:rPr>
        <w:t>（7）汽车发动机检修能力。</w:t>
      </w:r>
    </w:p>
    <w:p>
      <w:pPr>
        <w:spacing w:line="360" w:lineRule="auto"/>
        <w:ind w:firstLine="420" w:firstLineChars="200"/>
        <w:rPr>
          <w:rFonts w:ascii="宋体" w:hAnsi="宋体" w:cs="宋体"/>
          <w:szCs w:val="21"/>
        </w:rPr>
      </w:pPr>
      <w:r>
        <w:rPr>
          <w:rFonts w:hint="eastAsia" w:ascii="宋体" w:hAnsi="宋体" w:cs="宋体"/>
          <w:szCs w:val="21"/>
        </w:rPr>
        <w:t>（8）汽车底盘检修能力。</w:t>
      </w:r>
    </w:p>
    <w:p>
      <w:pPr>
        <w:spacing w:line="360" w:lineRule="auto"/>
        <w:ind w:firstLine="420" w:firstLineChars="200"/>
        <w:rPr>
          <w:rFonts w:ascii="宋体" w:hAnsi="宋体" w:cs="宋体"/>
          <w:szCs w:val="21"/>
        </w:rPr>
      </w:pPr>
      <w:r>
        <w:rPr>
          <w:rFonts w:hint="eastAsia" w:ascii="宋体" w:hAnsi="宋体" w:cs="宋体"/>
          <w:szCs w:val="21"/>
        </w:rPr>
        <w:t>（9）汽车电气设备检修能力。</w:t>
      </w:r>
    </w:p>
    <w:p>
      <w:pPr>
        <w:spacing w:line="360" w:lineRule="auto"/>
        <w:ind w:firstLine="420" w:firstLineChars="200"/>
        <w:rPr>
          <w:rFonts w:ascii="宋体" w:hAnsi="宋体" w:cs="宋体"/>
          <w:szCs w:val="21"/>
        </w:rPr>
      </w:pPr>
      <w:r>
        <w:rPr>
          <w:rFonts w:hint="eastAsia" w:ascii="宋体" w:hAnsi="宋体" w:cs="宋体"/>
          <w:szCs w:val="21"/>
        </w:rPr>
        <w:t>（10））汽车维修计划制定能力。</w:t>
      </w:r>
    </w:p>
    <w:p>
      <w:pPr>
        <w:spacing w:line="360" w:lineRule="auto"/>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六</w:t>
      </w:r>
      <w:r>
        <w:rPr>
          <w:rFonts w:ascii="Times New Roman" w:hAnsi="Times New Roman" w:eastAsia="黑体"/>
          <w:sz w:val="28"/>
          <w:szCs w:val="28"/>
        </w:rPr>
        <w:t>、课程</w:t>
      </w:r>
      <w:r>
        <w:rPr>
          <w:rFonts w:hint="eastAsia" w:ascii="Times New Roman" w:hAnsi="Times New Roman" w:eastAsia="黑体"/>
          <w:sz w:val="28"/>
          <w:szCs w:val="28"/>
        </w:rPr>
        <w:t>设置及要求</w:t>
      </w:r>
    </w:p>
    <w:p>
      <w:pPr>
        <w:adjustRightInd w:val="0"/>
        <w:spacing w:line="360" w:lineRule="auto"/>
        <w:ind w:firstLine="480" w:firstLineChars="200"/>
        <w:outlineLvl w:val="2"/>
        <w:rPr>
          <w:rFonts w:ascii="黑体" w:hAnsi="黑体" w:eastAsia="黑体" w:cs="黑体"/>
          <w:bCs/>
          <w:sz w:val="24"/>
        </w:rPr>
      </w:pPr>
      <w:r>
        <w:rPr>
          <w:rFonts w:hint="eastAsia" w:ascii="黑体" w:hAnsi="黑体" w:eastAsia="黑体" w:cs="黑体"/>
          <w:bCs/>
          <w:sz w:val="24"/>
        </w:rPr>
        <w:t>（一）课程体系</w:t>
      </w:r>
    </w:p>
    <w:p>
      <w:pPr>
        <w:adjustRightInd w:val="0"/>
        <w:spacing w:line="360" w:lineRule="auto"/>
        <w:ind w:firstLine="420" w:firstLineChars="200"/>
        <w:outlineLvl w:val="2"/>
        <w:rPr>
          <w:rFonts w:ascii="黑体" w:hAnsi="黑体" w:eastAsia="黑体"/>
          <w:sz w:val="24"/>
        </w:rPr>
      </w:pPr>
      <w:r>
        <w:rPr>
          <w:rFonts w:hint="eastAsia" w:ascii="宋体" w:hAnsi="宋体" w:cs="微软雅黑"/>
          <w:szCs w:val="21"/>
        </w:rPr>
        <w:t>本专业以职业能力为主线，构建了工学结合、学做一体、个性培养的课程体系，该体系分为公共课、专业核心课、其他专业课、实训实习课、公共选修课以及专业选修课等模块。公共基础课主要安排在第一、二学期完成，主要是使学生了解社会，提高学生人文科学素养，培养学生的社会能力，为进一步学习专业课程打好基础。部分公共基础课贯穿人才培养全过程，如劳动教育、创新创业教育。专业核心课程主要安排在第三、四学期，是形成学生职业素养和职业能力的最重要课程；其他专业课则是对专业核心课的有益辅助和补充，帮助学生更好地进行专业学习；实训实习课中的毕业设计（论文）安排在第五学期和第六期，顶岗实习安排在六学期，是专业理论知识和专业技能在实际工作的综合运用，也是专业教育在校外的延续，以提高学生的社会能力和职业工作能力，以及运用专业知识技能解决实际问题的能力。选修课主要安排专业外的拓展课程，以拓宽学生的知识面和提高学生人文科学素养。</w:t>
      </w:r>
    </w:p>
    <w:p>
      <w:pPr>
        <w:adjustRightInd w:val="0"/>
        <w:spacing w:line="360" w:lineRule="auto"/>
        <w:ind w:firstLine="480" w:firstLineChars="200"/>
        <w:outlineLvl w:val="2"/>
        <w:rPr>
          <w:rFonts w:ascii="黑体" w:hAnsi="黑体" w:eastAsia="黑体"/>
          <w:sz w:val="24"/>
        </w:rPr>
      </w:pPr>
      <w:r>
        <w:rPr>
          <w:rFonts w:hint="eastAsia" w:ascii="黑体" w:hAnsi="黑体" w:eastAsia="黑体"/>
          <w:sz w:val="24"/>
        </w:rPr>
        <w:t>（二）公共基础课程</w:t>
      </w:r>
    </w:p>
    <w:p>
      <w:pPr>
        <w:spacing w:line="360" w:lineRule="auto"/>
        <w:ind w:firstLine="420" w:firstLineChars="200"/>
        <w:rPr>
          <w:rFonts w:ascii="宋体" w:hAnsi="宋体" w:cs="微软雅黑"/>
          <w:szCs w:val="21"/>
        </w:rPr>
      </w:pPr>
      <w:r>
        <w:rPr>
          <w:rFonts w:hint="eastAsia" w:ascii="宋体" w:hAnsi="宋体" w:cs="微软雅黑"/>
          <w:szCs w:val="21"/>
        </w:rPr>
        <w:t>公共基础课程教学内容及要求如表二所示。</w:t>
      </w:r>
    </w:p>
    <w:p>
      <w:pPr>
        <w:spacing w:line="360" w:lineRule="auto"/>
        <w:jc w:val="center"/>
        <w:rPr>
          <w:rFonts w:ascii="宋体" w:hAnsi="宋体" w:cs="微软雅黑"/>
          <w:szCs w:val="21"/>
        </w:rPr>
      </w:pPr>
      <w:r>
        <w:rPr>
          <w:rFonts w:hint="eastAsia" w:ascii="宋体" w:hAnsi="宋体" w:cs="微软雅黑"/>
          <w:szCs w:val="21"/>
        </w:rPr>
        <w:t>表二</w:t>
      </w:r>
      <w:r>
        <w:rPr>
          <w:rFonts w:ascii="宋体" w:hAnsi="宋体" w:cs="微软雅黑"/>
          <w:szCs w:val="21"/>
        </w:rPr>
        <w:t xml:space="preserve">  </w:t>
      </w:r>
      <w:r>
        <w:rPr>
          <w:rFonts w:hint="eastAsia" w:ascii="宋体" w:hAnsi="宋体" w:cs="微软雅黑"/>
          <w:szCs w:val="21"/>
        </w:rPr>
        <w:t>公共基础课程教学内容及要求</w:t>
      </w:r>
    </w:p>
    <w:tbl>
      <w:tblPr>
        <w:tblStyle w:val="6"/>
        <w:tblW w:w="9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280"/>
        <w:gridCol w:w="7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blHeader/>
          <w:jc w:val="center"/>
        </w:trPr>
        <w:tc>
          <w:tcPr>
            <w:tcW w:w="801" w:type="dxa"/>
            <w:vAlign w:val="center"/>
          </w:tcPr>
          <w:p>
            <w:pPr>
              <w:jc w:val="center"/>
              <w:rPr>
                <w:rFonts w:ascii="宋体" w:hAnsi="宋体" w:cs="微软雅黑"/>
                <w:szCs w:val="21"/>
              </w:rPr>
            </w:pPr>
            <w:r>
              <w:rPr>
                <w:rFonts w:hint="eastAsia" w:ascii="宋体" w:hAnsi="宋体" w:cs="微软雅黑"/>
                <w:szCs w:val="21"/>
              </w:rPr>
              <w:t>序号</w:t>
            </w:r>
          </w:p>
        </w:tc>
        <w:tc>
          <w:tcPr>
            <w:tcW w:w="1280" w:type="dxa"/>
            <w:vAlign w:val="center"/>
          </w:tcPr>
          <w:p>
            <w:pPr>
              <w:jc w:val="center"/>
              <w:rPr>
                <w:rFonts w:ascii="宋体" w:hAnsi="宋体" w:cs="微软雅黑"/>
                <w:szCs w:val="21"/>
              </w:rPr>
            </w:pPr>
            <w:r>
              <w:rPr>
                <w:rFonts w:hint="eastAsia" w:ascii="宋体" w:hAnsi="宋体" w:cs="微软雅黑"/>
                <w:szCs w:val="21"/>
              </w:rPr>
              <w:t>课程名称</w:t>
            </w:r>
          </w:p>
        </w:tc>
        <w:tc>
          <w:tcPr>
            <w:tcW w:w="7010" w:type="dxa"/>
            <w:vAlign w:val="center"/>
          </w:tcPr>
          <w:p>
            <w:pPr>
              <w:jc w:val="center"/>
              <w:rPr>
                <w:rFonts w:ascii="宋体" w:hAnsi="宋体" w:cs="微软雅黑"/>
                <w:szCs w:val="21"/>
              </w:rPr>
            </w:pPr>
            <w:r>
              <w:rPr>
                <w:rFonts w:hint="eastAsia" w:ascii="宋体" w:hAnsi="宋体" w:cs="微软雅黑"/>
                <w:szCs w:val="21"/>
              </w:rPr>
              <w:t>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801" w:type="dxa"/>
            <w:vAlign w:val="center"/>
          </w:tcPr>
          <w:p>
            <w:pPr>
              <w:spacing w:line="360" w:lineRule="auto"/>
              <w:jc w:val="center"/>
              <w:rPr>
                <w:rFonts w:ascii="宋体" w:hAnsi="宋体" w:cs="微软雅黑"/>
                <w:szCs w:val="21"/>
              </w:rPr>
            </w:pPr>
            <w:r>
              <w:rPr>
                <w:rFonts w:hint="eastAsia" w:ascii="宋体" w:hAnsi="宋体" w:cs="微软雅黑"/>
                <w:szCs w:val="21"/>
              </w:rPr>
              <w:t>1</w:t>
            </w:r>
          </w:p>
        </w:tc>
        <w:tc>
          <w:tcPr>
            <w:tcW w:w="1280" w:type="dxa"/>
            <w:vAlign w:val="center"/>
          </w:tcPr>
          <w:p>
            <w:pPr>
              <w:widowControl/>
              <w:jc w:val="center"/>
              <w:rPr>
                <w:rFonts w:ascii="宋体" w:hAnsi="宋体" w:cs="微软雅黑"/>
                <w:szCs w:val="21"/>
              </w:rPr>
            </w:pPr>
            <w:r>
              <w:rPr>
                <w:rFonts w:hint="eastAsia" w:ascii="宋体" w:hAnsi="宋体" w:cs="宋体"/>
                <w:color w:val="000000"/>
                <w:kern w:val="0"/>
                <w:szCs w:val="21"/>
                <w:lang w:bidi="ar"/>
              </w:rPr>
              <w:t>军事理论</w:t>
            </w:r>
          </w:p>
        </w:tc>
        <w:tc>
          <w:tcPr>
            <w:tcW w:w="7010" w:type="dxa"/>
            <w:vAlign w:val="center"/>
          </w:tcPr>
          <w:p>
            <w:pPr>
              <w:widowControl/>
              <w:ind w:firstLine="420" w:firstLineChars="200"/>
              <w:jc w:val="left"/>
              <w:rPr>
                <w:rFonts w:ascii="宋体" w:hAnsi="宋体" w:cs="微软雅黑"/>
                <w:szCs w:val="21"/>
              </w:rPr>
            </w:pPr>
            <w:r>
              <w:rPr>
                <w:rFonts w:hint="eastAsia" w:ascii="宋体" w:hAnsi="宋体" w:cs="宋体"/>
                <w:color w:val="000000"/>
                <w:kern w:val="0"/>
                <w:szCs w:val="21"/>
                <w:lang w:bidi="ar"/>
              </w:rPr>
              <w:t>通过本课程教学使学生接受国防教育，激发爱国热情，树立革命英雄主义精神，增强国防观念和组织性、纪律性，掌握基本的军事知识和技能。主要内容为：了解我国近代国防史和世界军事形势，增强国防意识。了解现代武器，现代军事科学技术和现代战争的特点和发展趋势，激发学生的爱国主义热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801" w:type="dxa"/>
            <w:vAlign w:val="center"/>
          </w:tcPr>
          <w:p>
            <w:pPr>
              <w:spacing w:line="360" w:lineRule="auto"/>
              <w:jc w:val="center"/>
              <w:rPr>
                <w:rFonts w:ascii="宋体" w:hAnsi="宋体" w:cs="微软雅黑"/>
                <w:szCs w:val="21"/>
              </w:rPr>
            </w:pPr>
            <w:r>
              <w:rPr>
                <w:rFonts w:hint="eastAsia" w:ascii="宋体" w:hAnsi="宋体" w:cs="微软雅黑"/>
                <w:szCs w:val="21"/>
              </w:rPr>
              <w:t>2</w:t>
            </w:r>
          </w:p>
        </w:tc>
        <w:tc>
          <w:tcPr>
            <w:tcW w:w="1280" w:type="dxa"/>
            <w:vAlign w:val="center"/>
          </w:tcPr>
          <w:p>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军事技能</w:t>
            </w:r>
          </w:p>
        </w:tc>
        <w:tc>
          <w:tcPr>
            <w:tcW w:w="7010" w:type="dxa"/>
            <w:vAlign w:val="center"/>
          </w:tcPr>
          <w:p>
            <w:pPr>
              <w:widowControl/>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本课程通过共同条例教育，分队的队列动作等，掌握基本的军事技能，培养良好的军人素质和作风。增强组织性和纪律性，培养吃苦耐劳和顽强拼搏的精神，促进校纪校风和校园精神文明建设。同时使增强国防观念、国家安全意识和忧患危机意识，弘扬爱国主义精神、传承红色基因、提高学生综合国防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1" w:type="dxa"/>
            <w:vAlign w:val="center"/>
          </w:tcPr>
          <w:p>
            <w:pPr>
              <w:spacing w:line="360" w:lineRule="auto"/>
              <w:jc w:val="center"/>
              <w:rPr>
                <w:rFonts w:ascii="宋体" w:hAnsi="宋体" w:cs="微软雅黑"/>
                <w:szCs w:val="21"/>
              </w:rPr>
            </w:pPr>
            <w:r>
              <w:rPr>
                <w:rFonts w:hint="eastAsia" w:ascii="宋体" w:hAnsi="宋体" w:cs="微软雅黑"/>
                <w:szCs w:val="21"/>
              </w:rPr>
              <w:t>3</w:t>
            </w:r>
          </w:p>
        </w:tc>
        <w:tc>
          <w:tcPr>
            <w:tcW w:w="1280" w:type="dxa"/>
            <w:vAlign w:val="center"/>
          </w:tcPr>
          <w:p>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毛泽东思想和中国特色社会主义理论体系概论</w:t>
            </w:r>
          </w:p>
        </w:tc>
        <w:tc>
          <w:tcPr>
            <w:tcW w:w="7010" w:type="dxa"/>
            <w:vAlign w:val="center"/>
          </w:tcPr>
          <w:p>
            <w:pPr>
              <w:widowControl/>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本课程讲授中国共产党把马克思主义基本原理与中国实际相结合的历史进程，充分反映马克思主义中国化的两大理论成果，帮助学生系统掌握毛泽东思想和中国特色社会主义理论体系基本原理，坚定在党的领导下走中国特色社会主义道路的理想信念。本课程以中国化的马克思主义为主题，以马克思主义中国化为主线，以建设中国特色社会主义为重点，把马克思主义中国化进程中形成的理论成果作为一个一脉相承又与时俱进的统一整体来进行把握，通过对马克思主义中国化理论成果怎样解决中国革命、建设、改革各个阶段问题的分析，帮助学生了解中国特色社会主义事业怎样在继往开来中不断向前发展，马克思主义中国化怎样在承前启后中持续向前推进；帮助学生深刻认识坚持马克思主义指导地位对实现中华民族伟大复兴的重要性，增强他们学习马克思主义理论的自觉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3" w:hRule="atLeast"/>
          <w:jc w:val="center"/>
        </w:trPr>
        <w:tc>
          <w:tcPr>
            <w:tcW w:w="801" w:type="dxa"/>
            <w:vAlign w:val="center"/>
          </w:tcPr>
          <w:p>
            <w:pPr>
              <w:spacing w:line="360" w:lineRule="auto"/>
              <w:jc w:val="center"/>
              <w:rPr>
                <w:rFonts w:ascii="宋体" w:hAnsi="宋体" w:cs="微软雅黑"/>
                <w:szCs w:val="21"/>
              </w:rPr>
            </w:pPr>
            <w:r>
              <w:rPr>
                <w:rFonts w:hint="eastAsia" w:ascii="宋体" w:hAnsi="宋体" w:cs="微软雅黑"/>
                <w:szCs w:val="21"/>
              </w:rPr>
              <w:t>4</w:t>
            </w:r>
          </w:p>
        </w:tc>
        <w:tc>
          <w:tcPr>
            <w:tcW w:w="1280" w:type="dxa"/>
            <w:vAlign w:val="center"/>
          </w:tcPr>
          <w:p>
            <w:pPr>
              <w:widowControl/>
              <w:jc w:val="center"/>
              <w:rPr>
                <w:rFonts w:ascii="宋体" w:hAnsi="宋体" w:cs="微软雅黑"/>
                <w:szCs w:val="21"/>
              </w:rPr>
            </w:pPr>
            <w:r>
              <w:rPr>
                <w:rFonts w:hint="eastAsia" w:ascii="宋体" w:hAnsi="宋体" w:cs="宋体"/>
                <w:color w:val="000000"/>
                <w:kern w:val="0"/>
                <w:szCs w:val="21"/>
                <w:lang w:bidi="ar"/>
              </w:rPr>
              <w:t>思想道德修养与法律基础</w:t>
            </w:r>
          </w:p>
        </w:tc>
        <w:tc>
          <w:tcPr>
            <w:tcW w:w="7010" w:type="dxa"/>
            <w:vAlign w:val="center"/>
          </w:tcPr>
          <w:p>
            <w:pPr>
              <w:widowControl/>
              <w:ind w:firstLine="420" w:firstLineChars="200"/>
              <w:rPr>
                <w:rFonts w:ascii="宋体" w:hAnsi="宋体" w:cs="微软雅黑"/>
                <w:szCs w:val="21"/>
              </w:rPr>
            </w:pPr>
            <w:r>
              <w:rPr>
                <w:rFonts w:hint="eastAsia" w:ascii="宋体" w:hAnsi="宋体" w:cs="宋体"/>
                <w:color w:val="000000"/>
                <w:kern w:val="0"/>
                <w:szCs w:val="21"/>
                <w:lang w:bidi="ar"/>
              </w:rPr>
              <w:t xml:space="preserve">本课程是一门综合性较强的思想品德课程，主要包括政治教育、思想教育、道德教育、法制教育等方面的内容。课程教学的根本任务是：贯彻落实“以德治国”、“依法治国”的重要思想和社会主义荣辱观，帮助大学生树立中国特色社会主义的共同理想，确立坚定的马克思主义信念，继承和弘扬爱国主义传统，加强自身道德修养、培育各种道德素质，提高法律素养、自觉遵纪守法，促使大学生树立正确的世界观、人生观、价值观、道德观和法制观，引导大学生树立科学的理想信念，并在实现中国梦的伟大实践中化理想为现实，做“有理想、有道德、有文化、有纪律”的社会主义事业建设者和接班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atLeast"/>
          <w:jc w:val="center"/>
        </w:trPr>
        <w:tc>
          <w:tcPr>
            <w:tcW w:w="801" w:type="dxa"/>
            <w:vAlign w:val="center"/>
          </w:tcPr>
          <w:p>
            <w:pPr>
              <w:spacing w:line="360" w:lineRule="auto"/>
              <w:jc w:val="center"/>
              <w:rPr>
                <w:rFonts w:ascii="宋体" w:hAnsi="宋体" w:cs="微软雅黑"/>
                <w:szCs w:val="21"/>
              </w:rPr>
            </w:pPr>
            <w:r>
              <w:rPr>
                <w:rFonts w:hint="eastAsia" w:ascii="宋体" w:hAnsi="宋体" w:cs="微软雅黑"/>
                <w:szCs w:val="21"/>
              </w:rPr>
              <w:t>5</w:t>
            </w:r>
          </w:p>
        </w:tc>
        <w:tc>
          <w:tcPr>
            <w:tcW w:w="1280" w:type="dxa"/>
            <w:vAlign w:val="center"/>
          </w:tcPr>
          <w:p>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形势与政策</w:t>
            </w:r>
          </w:p>
        </w:tc>
        <w:tc>
          <w:tcPr>
            <w:tcW w:w="7010" w:type="dxa"/>
            <w:vAlign w:val="center"/>
          </w:tcPr>
          <w:p>
            <w:pPr>
              <w:widowControl/>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通过本课程的教学，使学生了解国内外的重大时事，全面认识和正确理解党的基本路线、重大方针和政策，认清形势和任务，掌握时代的脉搏，激发爱国主义精神，增强民主自信心和社会责任感，珍惜和维护国家稳定的大局，为建设有中国特色的社会主义而奋发学习、健康成长。课程内容紧密结合国内外形势，紧密结合学生的思想实际，通过适时地进行形势政策、世界政治经济与国际关系基本知识的教育，帮助学生开阔视野，及时了解和正确对待国内外重大时事，使学生在改革开放的环境下有坚定的立场、有较强的分析能力和适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01" w:type="dxa"/>
            <w:vAlign w:val="center"/>
          </w:tcPr>
          <w:p>
            <w:pPr>
              <w:spacing w:line="360" w:lineRule="auto"/>
              <w:jc w:val="center"/>
              <w:rPr>
                <w:rFonts w:ascii="宋体" w:hAnsi="宋体" w:cs="微软雅黑"/>
                <w:szCs w:val="21"/>
              </w:rPr>
            </w:pPr>
            <w:r>
              <w:rPr>
                <w:rFonts w:hint="eastAsia" w:ascii="宋体" w:hAnsi="宋体" w:cs="微软雅黑"/>
                <w:szCs w:val="21"/>
              </w:rPr>
              <w:t>6</w:t>
            </w:r>
          </w:p>
        </w:tc>
        <w:tc>
          <w:tcPr>
            <w:tcW w:w="1280" w:type="dxa"/>
            <w:vAlign w:val="center"/>
          </w:tcPr>
          <w:p>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英语</w:t>
            </w:r>
          </w:p>
        </w:tc>
        <w:tc>
          <w:tcPr>
            <w:tcW w:w="7010" w:type="dxa"/>
            <w:vAlign w:val="center"/>
          </w:tcPr>
          <w:p>
            <w:pPr>
              <w:widowControl/>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 xml:space="preserve">本课程以培养学生实际应用英语的能力为目标，侧重职场环境中英语实际能力的培养，使学生逐步提高用英语进行交流和沟通的能力。同时，使学生掌握有效的学习方法和策略，培养学生的学习兴趣和自主学习能力，提高学生的综合文化素养和跨文化交际意识，为提升学生的就业竞争力及未来的可持续发展打下必要的基础。掌握 3500 个英语单词，在口语和书面写作时加以熟练运用；掌握基本的英语语法，能在职场中熟练运用所学知识；能听懂日常生活用语和未来职业相关的一般性对话和陈述；能就日常话题和与未来职业相关的话题进行比较有效的交谈；能就一般性话题写命题作文，能模拟套写与未来职业相关的应用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jc w:val="center"/>
        </w:trPr>
        <w:tc>
          <w:tcPr>
            <w:tcW w:w="801" w:type="dxa"/>
            <w:vAlign w:val="center"/>
          </w:tcPr>
          <w:p>
            <w:pPr>
              <w:spacing w:line="360" w:lineRule="auto"/>
              <w:jc w:val="center"/>
              <w:rPr>
                <w:rFonts w:ascii="宋体" w:hAnsi="宋体" w:cs="微软雅黑"/>
                <w:szCs w:val="21"/>
              </w:rPr>
            </w:pPr>
            <w:r>
              <w:rPr>
                <w:rFonts w:hint="eastAsia" w:ascii="宋体" w:hAnsi="宋体" w:cs="微软雅黑"/>
                <w:szCs w:val="21"/>
              </w:rPr>
              <w:t>7</w:t>
            </w:r>
          </w:p>
        </w:tc>
        <w:tc>
          <w:tcPr>
            <w:tcW w:w="1280" w:type="dxa"/>
            <w:vAlign w:val="center"/>
          </w:tcPr>
          <w:p>
            <w:pPr>
              <w:widowControl/>
              <w:jc w:val="center"/>
              <w:rPr>
                <w:rFonts w:ascii="宋体" w:hAnsi="宋体" w:cs="微软雅黑"/>
                <w:szCs w:val="21"/>
              </w:rPr>
            </w:pPr>
            <w:r>
              <w:rPr>
                <w:rFonts w:hint="eastAsia" w:ascii="宋体" w:hAnsi="宋体" w:cs="宋体"/>
                <w:color w:val="000000"/>
                <w:kern w:val="0"/>
                <w:szCs w:val="21"/>
                <w:lang w:bidi="ar"/>
              </w:rPr>
              <w:t>体育</w:t>
            </w:r>
          </w:p>
        </w:tc>
        <w:tc>
          <w:tcPr>
            <w:tcW w:w="7010" w:type="dxa"/>
            <w:vAlign w:val="center"/>
          </w:tcPr>
          <w:p>
            <w:pPr>
              <w:widowControl/>
              <w:ind w:firstLine="420" w:firstLineChars="200"/>
              <w:jc w:val="left"/>
              <w:rPr>
                <w:rFonts w:ascii="宋体" w:hAnsi="宋体" w:cs="微软雅黑"/>
                <w:szCs w:val="21"/>
              </w:rPr>
            </w:pPr>
            <w:r>
              <w:rPr>
                <w:rFonts w:hint="eastAsia" w:ascii="宋体" w:hAnsi="宋体" w:cs="宋体"/>
                <w:color w:val="000000"/>
                <w:kern w:val="0"/>
                <w:szCs w:val="21"/>
                <w:lang w:bidi="ar"/>
              </w:rPr>
              <w:t>本课程中身体素质锻炼贯穿始终，学生通过该课程学习，在运动参与、运动技能、身体健康、心理健康和社会适应五个学习领域中有所提高，掌握科学锻炼的基本知识、技术，培养其锻炼的兴趣和习惯，以充分发挥学生的主体能动性，为终身体育打下基础。通过课程学习，学生将增强体能，掌握和应用基本的体育与健康知识和运动技能；培养运动的兴趣和爱好，形成坚持锻炼的习惯；提高对个人健康和群体健康的责任感，形成健康的生活方式；发扬体育精神，形成积极进取、乐观开朗的生活态度；提高与专业特点相适应的体育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pacing w:line="360" w:lineRule="auto"/>
              <w:jc w:val="center"/>
              <w:rPr>
                <w:rFonts w:ascii="宋体" w:hAnsi="宋体" w:cs="微软雅黑"/>
                <w:szCs w:val="21"/>
              </w:rPr>
            </w:pPr>
            <w:r>
              <w:rPr>
                <w:rFonts w:hint="eastAsia" w:ascii="宋体" w:hAnsi="宋体" w:cs="微软雅黑"/>
                <w:szCs w:val="21"/>
              </w:rPr>
              <w:t>8</w:t>
            </w:r>
          </w:p>
        </w:tc>
        <w:tc>
          <w:tcPr>
            <w:tcW w:w="1280" w:type="dxa"/>
            <w:vAlign w:val="center"/>
          </w:tcPr>
          <w:p>
            <w:pPr>
              <w:widowControl/>
              <w:jc w:val="center"/>
              <w:rPr>
                <w:rFonts w:ascii="宋体" w:hAnsi="宋体" w:cs="微软雅黑"/>
                <w:szCs w:val="21"/>
              </w:rPr>
            </w:pPr>
            <w:r>
              <w:rPr>
                <w:rFonts w:hint="eastAsia" w:ascii="宋体" w:hAnsi="宋体" w:cs="宋体"/>
                <w:color w:val="000000"/>
                <w:kern w:val="0"/>
                <w:szCs w:val="21"/>
                <w:lang w:bidi="ar"/>
              </w:rPr>
              <w:t>体育测试</w:t>
            </w:r>
          </w:p>
        </w:tc>
        <w:tc>
          <w:tcPr>
            <w:tcW w:w="7010" w:type="dxa"/>
            <w:vAlign w:val="center"/>
          </w:tcPr>
          <w:p>
            <w:pPr>
              <w:widowControl/>
              <w:ind w:firstLine="420" w:firstLineChars="200"/>
              <w:jc w:val="left"/>
              <w:rPr>
                <w:rFonts w:ascii="宋体" w:hAnsi="宋体" w:cs="微软雅黑"/>
                <w:szCs w:val="21"/>
              </w:rPr>
            </w:pPr>
            <w:r>
              <w:rPr>
                <w:rFonts w:hint="eastAsia" w:ascii="宋体" w:hAnsi="宋体" w:cs="微软雅黑"/>
                <w:szCs w:val="21"/>
              </w:rPr>
              <w:t>通过对学生身高、体重、肺活量、坐立体前屈、立定跳远、50米、1分钟仰卧起坐（女）、引体向上（男）、800米跑（女）、1000米跑（男）等的测试，对学生体质状况和体育锻炼效果进行评价，以指导学生科学开展体育活动和锻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pacing w:line="360" w:lineRule="auto"/>
              <w:jc w:val="center"/>
              <w:rPr>
                <w:rFonts w:ascii="宋体" w:hAnsi="宋体" w:cs="微软雅黑"/>
                <w:szCs w:val="21"/>
              </w:rPr>
            </w:pPr>
            <w:r>
              <w:rPr>
                <w:rFonts w:hint="eastAsia" w:ascii="宋体" w:hAnsi="宋体" w:cs="微软雅黑"/>
                <w:szCs w:val="21"/>
              </w:rPr>
              <w:t>9</w:t>
            </w:r>
          </w:p>
        </w:tc>
        <w:tc>
          <w:tcPr>
            <w:tcW w:w="1280" w:type="dxa"/>
            <w:vAlign w:val="center"/>
          </w:tcPr>
          <w:p>
            <w:pPr>
              <w:widowControl/>
              <w:jc w:val="center"/>
              <w:rPr>
                <w:rFonts w:ascii="宋体" w:hAnsi="宋体" w:cs="微软雅黑"/>
                <w:szCs w:val="21"/>
              </w:rPr>
            </w:pPr>
            <w:r>
              <w:rPr>
                <w:rFonts w:hint="eastAsia" w:ascii="宋体" w:hAnsi="宋体" w:cs="宋体"/>
                <w:color w:val="000000"/>
                <w:kern w:val="0"/>
                <w:szCs w:val="21"/>
                <w:lang w:bidi="ar"/>
              </w:rPr>
              <w:t>信息技术</w:t>
            </w:r>
          </w:p>
        </w:tc>
        <w:tc>
          <w:tcPr>
            <w:tcW w:w="7010" w:type="dxa"/>
            <w:vAlign w:val="center"/>
          </w:tcPr>
          <w:p>
            <w:pPr>
              <w:widowControl/>
              <w:ind w:firstLine="420" w:firstLineChars="200"/>
              <w:jc w:val="left"/>
              <w:rPr>
                <w:rFonts w:ascii="宋体" w:hAnsi="宋体" w:cs="微软雅黑"/>
                <w:szCs w:val="21"/>
              </w:rPr>
            </w:pPr>
            <w:r>
              <w:rPr>
                <w:rFonts w:hint="eastAsia" w:ascii="宋体" w:hAnsi="宋体" w:cs="宋体"/>
                <w:color w:val="000000"/>
                <w:kern w:val="0"/>
                <w:szCs w:val="21"/>
                <w:lang w:bidi="ar"/>
              </w:rPr>
              <w:t>本课程主要使学生掌握必备的计算机应用基础知识和基本技能，培养学生应用计算机解决工作与生活中的实际问题的的能力；使学生初步具有应用计算机学习的能力，为其职业生涯发展和终身学习奠定基础；提升学生的信息素养，使学生了解并遵守信息道德与安全准则，培养学生称为信息社会的合格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jc w:val="center"/>
        </w:trPr>
        <w:tc>
          <w:tcPr>
            <w:tcW w:w="801" w:type="dxa"/>
            <w:vAlign w:val="center"/>
          </w:tcPr>
          <w:p>
            <w:pPr>
              <w:spacing w:line="360" w:lineRule="auto"/>
              <w:jc w:val="center"/>
              <w:rPr>
                <w:rFonts w:ascii="宋体" w:hAnsi="宋体" w:cs="微软雅黑"/>
                <w:szCs w:val="21"/>
              </w:rPr>
            </w:pPr>
            <w:r>
              <w:rPr>
                <w:rFonts w:hint="eastAsia" w:ascii="宋体" w:hAnsi="宋体" w:cs="微软雅黑"/>
                <w:szCs w:val="21"/>
              </w:rPr>
              <w:t>10</w:t>
            </w:r>
          </w:p>
        </w:tc>
        <w:tc>
          <w:tcPr>
            <w:tcW w:w="1280" w:type="dxa"/>
            <w:vAlign w:val="center"/>
          </w:tcPr>
          <w:p>
            <w:pPr>
              <w:spacing w:line="360" w:lineRule="auto"/>
              <w:jc w:val="center"/>
              <w:rPr>
                <w:rFonts w:ascii="宋体" w:hAnsi="宋体" w:cs="微软雅黑"/>
                <w:szCs w:val="21"/>
              </w:rPr>
            </w:pPr>
            <w:r>
              <w:rPr>
                <w:rFonts w:hint="eastAsia" w:ascii="宋体" w:hAnsi="宋体" w:cs="微软雅黑"/>
                <w:szCs w:val="21"/>
              </w:rPr>
              <w:t>大学语文</w:t>
            </w:r>
          </w:p>
        </w:tc>
        <w:tc>
          <w:tcPr>
            <w:tcW w:w="7010" w:type="dxa"/>
            <w:vAlign w:val="center"/>
          </w:tcPr>
          <w:p>
            <w:pPr>
              <w:widowControl/>
              <w:ind w:firstLine="420" w:firstLineChars="200"/>
              <w:jc w:val="left"/>
              <w:rPr>
                <w:rFonts w:ascii="宋体" w:hAnsi="宋体" w:cs="宋体"/>
                <w:color w:val="000000"/>
                <w:kern w:val="0"/>
                <w:sz w:val="24"/>
                <w:lang w:bidi="ar"/>
              </w:rPr>
            </w:pPr>
            <w:r>
              <w:rPr>
                <w:rFonts w:hint="eastAsia" w:ascii="宋体" w:hAnsi="宋体" w:cs="宋体"/>
                <w:color w:val="000000"/>
                <w:kern w:val="0"/>
                <w:szCs w:val="21"/>
                <w:lang w:bidi="ar"/>
              </w:rPr>
              <w:t>通过本课程教学提高和强化学生对本民族语言文字的理解能力和运用水平。帮助学生继续积累本国语文的有关知识，继续培养他们阅读分析能力和文字表达能力，打好扎实的语文根底。通过阅读理解文学作品提高学生的思维品质和审美悟性。教育、引导学生阅读理解优秀的文学作品，帮助他们突破思维定势，激发创造精神，学会形象思维与逻辑思维，从而建构起开放灵活的思维方式。同时，在教学的过程中，帮助学生辨别真善美与假恶丑，培养丰富的想象和联想能力，提高审美悟性，形成健康高雅的审美心理和情趣。以中国文学所体现的人文精神及优秀传统熏陶学生。要把传授知识与陶冶情操结合起来，发掘优秀文学作品所蕴涵的内在思想教育、情感熏陶因素，帮助学生树立正确的世界观、人生观和价值观，增强爱国主义精神和民族自豪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6" w:hRule="atLeast"/>
          <w:jc w:val="center"/>
        </w:trPr>
        <w:tc>
          <w:tcPr>
            <w:tcW w:w="801" w:type="dxa"/>
            <w:vAlign w:val="center"/>
          </w:tcPr>
          <w:p>
            <w:pPr>
              <w:spacing w:line="360" w:lineRule="auto"/>
              <w:jc w:val="center"/>
              <w:rPr>
                <w:rFonts w:ascii="宋体" w:hAnsi="宋体" w:cs="微软雅黑"/>
                <w:szCs w:val="21"/>
              </w:rPr>
            </w:pPr>
            <w:r>
              <w:rPr>
                <w:rFonts w:hint="eastAsia" w:ascii="宋体" w:hAnsi="宋体" w:cs="微软雅黑"/>
                <w:szCs w:val="21"/>
              </w:rPr>
              <w:t>11</w:t>
            </w:r>
          </w:p>
        </w:tc>
        <w:tc>
          <w:tcPr>
            <w:tcW w:w="1280" w:type="dxa"/>
            <w:vAlign w:val="center"/>
          </w:tcPr>
          <w:p>
            <w:pPr>
              <w:widowControl/>
              <w:jc w:val="center"/>
              <w:rPr>
                <w:rFonts w:ascii="宋体" w:hAnsi="宋体" w:cs="微软雅黑"/>
                <w:szCs w:val="21"/>
              </w:rPr>
            </w:pPr>
            <w:r>
              <w:rPr>
                <w:rFonts w:hint="eastAsia" w:ascii="宋体" w:hAnsi="宋体" w:cs="宋体"/>
                <w:color w:val="000000"/>
                <w:kern w:val="0"/>
                <w:szCs w:val="21"/>
                <w:lang w:bidi="ar"/>
              </w:rPr>
              <w:t>大学生心理健康</w:t>
            </w:r>
          </w:p>
        </w:tc>
        <w:tc>
          <w:tcPr>
            <w:tcW w:w="7010" w:type="dxa"/>
            <w:vAlign w:val="center"/>
          </w:tcPr>
          <w:p>
            <w:pPr>
              <w:widowControl/>
              <w:ind w:firstLine="420" w:firstLineChars="200"/>
              <w:jc w:val="left"/>
              <w:rPr>
                <w:rFonts w:ascii="宋体" w:hAnsi="宋体" w:cs="微软雅黑"/>
                <w:szCs w:val="21"/>
              </w:rPr>
            </w:pPr>
            <w:r>
              <w:rPr>
                <w:rFonts w:hint="eastAsia" w:ascii="宋体" w:hAnsi="宋体" w:cs="宋体"/>
                <w:color w:val="000000"/>
                <w:kern w:val="0"/>
                <w:szCs w:val="21"/>
                <w:lang w:bidi="ar"/>
              </w:rPr>
              <w:t>本课程是大学生的公共必修课程。主要内容涉及了心理健康的基础知识；认知自我；接纳自我；情绪管理；合理优化学习心理；恰当处理人际交往；树立正确的恋爱观以及远离网络危害等方面的知识。通过课程学习，旨在使学生明确心理健康的标准及现实意义，掌握并应用心理健康知识，培养良好的心理素质、自信精神、合作意识和开放的视野，培养学生的自我认知能力、人际沟通能力、自我调节能力，全面提高学生心理整体素养，为学生终身发展奠定良好、健康的心理素质基础。</w:t>
            </w:r>
            <w:r>
              <w:rPr>
                <w:rFonts w:hint="eastAsia" w:ascii="宋体" w:hAnsi="宋体" w:cs="宋体"/>
                <w:color w:val="000000"/>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jc w:val="center"/>
        </w:trPr>
        <w:tc>
          <w:tcPr>
            <w:tcW w:w="801" w:type="dxa"/>
            <w:vAlign w:val="center"/>
          </w:tcPr>
          <w:p>
            <w:pPr>
              <w:spacing w:line="360" w:lineRule="auto"/>
              <w:jc w:val="center"/>
              <w:rPr>
                <w:rFonts w:ascii="宋体" w:hAnsi="宋体" w:cs="微软雅黑"/>
                <w:szCs w:val="21"/>
              </w:rPr>
            </w:pPr>
            <w:r>
              <w:rPr>
                <w:rFonts w:hint="eastAsia" w:ascii="宋体" w:hAnsi="宋体" w:cs="微软雅黑"/>
                <w:szCs w:val="21"/>
              </w:rPr>
              <w:t>12</w:t>
            </w:r>
          </w:p>
        </w:tc>
        <w:tc>
          <w:tcPr>
            <w:tcW w:w="1280" w:type="dxa"/>
            <w:vAlign w:val="center"/>
          </w:tcPr>
          <w:p>
            <w:pPr>
              <w:spacing w:line="360" w:lineRule="auto"/>
              <w:jc w:val="center"/>
              <w:rPr>
                <w:rFonts w:ascii="宋体" w:hAnsi="宋体" w:cs="微软雅黑"/>
                <w:szCs w:val="21"/>
              </w:rPr>
            </w:pPr>
            <w:r>
              <w:rPr>
                <w:rFonts w:hint="eastAsia" w:ascii="宋体" w:hAnsi="宋体" w:cs="微软雅黑"/>
                <w:szCs w:val="21"/>
              </w:rPr>
              <w:t>大学生职业发展和就业指导</w:t>
            </w:r>
          </w:p>
        </w:tc>
        <w:tc>
          <w:tcPr>
            <w:tcW w:w="7010" w:type="dxa"/>
            <w:vAlign w:val="center"/>
          </w:tcPr>
          <w:p>
            <w:pPr>
              <w:widowControl/>
              <w:ind w:firstLine="420" w:firstLineChars="200"/>
              <w:jc w:val="left"/>
              <w:rPr>
                <w:rFonts w:ascii="宋体" w:hAnsi="宋体" w:cs="宋体"/>
                <w:color w:val="000000"/>
                <w:kern w:val="0"/>
                <w:sz w:val="24"/>
                <w:lang w:bidi="ar"/>
              </w:rPr>
            </w:pPr>
            <w:r>
              <w:rPr>
                <w:rFonts w:hint="eastAsia" w:ascii="宋体" w:hAnsi="宋体" w:cs="宋体"/>
                <w:color w:val="000000"/>
                <w:kern w:val="0"/>
                <w:szCs w:val="21"/>
                <w:lang w:bidi="ar"/>
              </w:rPr>
              <w:t>本课程是公共必修课程，既强调职业在人生发展中的重要地位，又关注学生的全面发展和终身发展。通过激发学生职业生涯发展的自主意识，树立科学的就业观、创业观，促使大学生理性地规划自身未来的发展，并努力在学习过程中自觉地提高就业能力和创新能力。通过本课程的教学，培养大学生职业生涯发展的自主意识，教育引导学生树立积极正确的人生观、价值观和就业观，自觉把个人发展和国家需要、社会发展相结合，为个人生涯发展和社会发展不懈努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1" w:type="dxa"/>
            <w:vAlign w:val="center"/>
          </w:tcPr>
          <w:p>
            <w:pPr>
              <w:spacing w:line="360" w:lineRule="auto"/>
              <w:jc w:val="center"/>
              <w:rPr>
                <w:rFonts w:ascii="宋体" w:hAnsi="宋体" w:cs="微软雅黑"/>
                <w:szCs w:val="21"/>
              </w:rPr>
            </w:pPr>
            <w:r>
              <w:rPr>
                <w:rFonts w:hint="eastAsia" w:ascii="宋体" w:hAnsi="宋体" w:cs="微软雅黑"/>
                <w:szCs w:val="21"/>
              </w:rPr>
              <w:t>13</w:t>
            </w:r>
          </w:p>
        </w:tc>
        <w:tc>
          <w:tcPr>
            <w:tcW w:w="1280" w:type="dxa"/>
            <w:vAlign w:val="center"/>
          </w:tcPr>
          <w:p>
            <w:pPr>
              <w:widowControl/>
              <w:jc w:val="center"/>
              <w:rPr>
                <w:rFonts w:ascii="宋体" w:hAnsi="宋体" w:cs="微软雅黑"/>
                <w:szCs w:val="21"/>
              </w:rPr>
            </w:pPr>
            <w:r>
              <w:rPr>
                <w:rFonts w:hint="eastAsia" w:ascii="宋体" w:hAnsi="宋体" w:cs="宋体"/>
                <w:color w:val="000000"/>
                <w:kern w:val="0"/>
                <w:szCs w:val="21"/>
                <w:lang w:bidi="ar"/>
              </w:rPr>
              <w:t>大学生创新创业指导</w:t>
            </w:r>
          </w:p>
        </w:tc>
        <w:tc>
          <w:tcPr>
            <w:tcW w:w="7010" w:type="dxa"/>
            <w:vAlign w:val="center"/>
          </w:tcPr>
          <w:p>
            <w:pPr>
              <w:widowControl/>
              <w:ind w:firstLine="420" w:firstLineChars="200"/>
              <w:jc w:val="left"/>
              <w:rPr>
                <w:rFonts w:ascii="宋体" w:hAnsi="宋体" w:cs="微软雅黑"/>
                <w:szCs w:val="21"/>
              </w:rPr>
            </w:pPr>
            <w:r>
              <w:rPr>
                <w:rFonts w:hint="eastAsia" w:ascii="宋体" w:hAnsi="宋体" w:cs="宋体"/>
                <w:color w:val="000000"/>
                <w:kern w:val="0"/>
                <w:szCs w:val="21"/>
                <w:lang w:bidi="ar"/>
              </w:rPr>
              <w:t xml:space="preserve">本课程是遵循职业教育规律，针对高职学生特点而组合开设的一门体现高职教育就业导向的综合性课程，强调理论性和实践性的有机统一，内容包括创业基础理论、创业意识、就业相关基本知识。通过课程学习，让学生树立职业生涯规划理念，掌握创业基本知识和技巧、增强创业意识和精神、了解国家就业方针和政策。有利于引导高职学生理性规划个人职业生涯发展，帮助高职学生了解社会需要及认识自身优势，促进学生职业素质发展，激发创业精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801" w:type="dxa"/>
            <w:vAlign w:val="center"/>
          </w:tcPr>
          <w:p>
            <w:pPr>
              <w:spacing w:line="360" w:lineRule="auto"/>
              <w:jc w:val="center"/>
              <w:rPr>
                <w:rFonts w:ascii="宋体" w:hAnsi="宋体" w:cs="微软雅黑"/>
                <w:szCs w:val="21"/>
              </w:rPr>
            </w:pPr>
            <w:r>
              <w:rPr>
                <w:rFonts w:hint="eastAsia" w:ascii="宋体" w:hAnsi="宋体" w:cs="微软雅黑"/>
                <w:szCs w:val="21"/>
              </w:rPr>
              <w:t>14</w:t>
            </w:r>
          </w:p>
        </w:tc>
        <w:tc>
          <w:tcPr>
            <w:tcW w:w="1280" w:type="dxa"/>
            <w:vAlign w:val="center"/>
          </w:tcPr>
          <w:p>
            <w:pPr>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国家安全教育</w:t>
            </w:r>
          </w:p>
        </w:tc>
        <w:tc>
          <w:tcPr>
            <w:tcW w:w="7010" w:type="dxa"/>
            <w:vAlign w:val="center"/>
          </w:tcPr>
          <w:p>
            <w:pPr>
              <w:widowControl/>
              <w:ind w:firstLine="420" w:firstLineChars="200"/>
              <w:jc w:val="left"/>
              <w:rPr>
                <w:rFonts w:ascii="宋体" w:hAnsi="宋体" w:cs="微软雅黑"/>
                <w:szCs w:val="21"/>
              </w:rPr>
            </w:pPr>
            <w:r>
              <w:rPr>
                <w:rFonts w:hint="eastAsia" w:ascii="宋体" w:hAnsi="宋体" w:cs="微软雅黑"/>
                <w:szCs w:val="21"/>
              </w:rPr>
              <w:t>通过本课程教学并结合专题教育，使学生能够深入理解和准确把握总体国家安全观，牢固树立国家利益至上的观念，增强自觉维护国家安全意识，具备维护国家安全的能力。并要求学生系统掌握总体国家安全观的内涵和精神实质，理解中国特色国家安全体系，树立国家安全底线思维，将国家安全意识转化为自觉行动，强化责任担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pacing w:line="360" w:lineRule="auto"/>
              <w:jc w:val="center"/>
              <w:rPr>
                <w:rFonts w:ascii="宋体" w:hAnsi="宋体" w:cs="微软雅黑"/>
                <w:szCs w:val="21"/>
              </w:rPr>
            </w:pPr>
            <w:r>
              <w:rPr>
                <w:rFonts w:hint="eastAsia" w:ascii="宋体" w:hAnsi="宋体" w:cs="微软雅黑"/>
                <w:szCs w:val="21"/>
              </w:rPr>
              <w:t>15</w:t>
            </w:r>
          </w:p>
        </w:tc>
        <w:tc>
          <w:tcPr>
            <w:tcW w:w="1280" w:type="dxa"/>
            <w:vAlign w:val="center"/>
          </w:tcPr>
          <w:p>
            <w:pPr>
              <w:spacing w:line="360" w:lineRule="auto"/>
              <w:jc w:val="center"/>
              <w:rPr>
                <w:rFonts w:ascii="宋体" w:hAnsi="宋体" w:cs="微软雅黑"/>
                <w:szCs w:val="21"/>
              </w:rPr>
            </w:pPr>
            <w:r>
              <w:rPr>
                <w:rFonts w:ascii="宋体" w:hAnsi="宋体" w:cs="微软雅黑"/>
                <w:szCs w:val="21"/>
              </w:rPr>
              <w:t>劳动专题教育</w:t>
            </w:r>
          </w:p>
        </w:tc>
        <w:tc>
          <w:tcPr>
            <w:tcW w:w="7010" w:type="dxa"/>
            <w:vAlign w:val="center"/>
          </w:tcPr>
          <w:p>
            <w:pPr>
              <w:widowControl/>
              <w:ind w:firstLine="420" w:firstLineChars="200"/>
              <w:jc w:val="left"/>
              <w:rPr>
                <w:rFonts w:ascii="宋体" w:hAnsi="宋体" w:cs="微软雅黑"/>
                <w:szCs w:val="21"/>
              </w:rPr>
            </w:pPr>
            <w:r>
              <w:rPr>
                <w:rFonts w:hint="eastAsia" w:ascii="宋体" w:hAnsi="宋体" w:cs="微软雅黑"/>
                <w:szCs w:val="21"/>
              </w:rPr>
              <w:t>通过劳动精神专题教育、劳模精神专题教育以及工匠精神专题教育等，使学生能够理解和形成马克思主义劳动观，牢固树立劳动最光荣、劳动最崇高、劳动最伟大、劳动最美丽的观念，促使学生养成良好的劳动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801" w:type="dxa"/>
            <w:vAlign w:val="center"/>
          </w:tcPr>
          <w:p>
            <w:pPr>
              <w:spacing w:line="360" w:lineRule="auto"/>
              <w:jc w:val="center"/>
              <w:rPr>
                <w:rFonts w:ascii="宋体" w:hAnsi="宋体" w:cs="微软雅黑"/>
                <w:szCs w:val="21"/>
              </w:rPr>
            </w:pPr>
            <w:r>
              <w:rPr>
                <w:rFonts w:hint="eastAsia" w:ascii="宋体" w:hAnsi="宋体" w:cs="微软雅黑"/>
                <w:szCs w:val="21"/>
              </w:rPr>
              <w:t>16</w:t>
            </w:r>
          </w:p>
        </w:tc>
        <w:tc>
          <w:tcPr>
            <w:tcW w:w="1280" w:type="dxa"/>
            <w:vAlign w:val="center"/>
          </w:tcPr>
          <w:p>
            <w:pPr>
              <w:spacing w:line="360" w:lineRule="auto"/>
              <w:jc w:val="center"/>
              <w:rPr>
                <w:rFonts w:ascii="宋体" w:hAnsi="宋体" w:cs="微软雅黑"/>
                <w:szCs w:val="21"/>
              </w:rPr>
            </w:pPr>
            <w:r>
              <w:rPr>
                <w:rFonts w:hint="eastAsia" w:ascii="宋体" w:hAnsi="宋体" w:cs="微软雅黑"/>
                <w:szCs w:val="21"/>
              </w:rPr>
              <w:t>劳动</w:t>
            </w:r>
          </w:p>
        </w:tc>
        <w:tc>
          <w:tcPr>
            <w:tcW w:w="7010" w:type="dxa"/>
            <w:vAlign w:val="center"/>
          </w:tcPr>
          <w:p>
            <w:pPr>
              <w:widowControl/>
              <w:ind w:firstLine="420" w:firstLineChars="200"/>
              <w:jc w:val="left"/>
              <w:rPr>
                <w:rFonts w:ascii="宋体" w:hAnsi="宋体" w:cs="微软雅黑"/>
                <w:szCs w:val="21"/>
              </w:rPr>
            </w:pPr>
            <w:r>
              <w:rPr>
                <w:rFonts w:hint="eastAsia" w:ascii="宋体" w:hAnsi="宋体" w:cs="微软雅黑"/>
                <w:szCs w:val="21"/>
              </w:rPr>
              <w:t>本课程将劳动分为校内劳动实践和校外劳动实践两个部分。其中校内劳动实践包括：实训室、课室、卫生间、楼道、周边草坪及指定区域的清洁；校外劳动实践包括：寒暑假社会实践、志愿者活动及其他有益于身心发展的劳动实践。学生通过劳动实践，体会劳动创造美好生活，认可劳动不分贵贱，培养勤俭、奋斗、创新、奉献的劳动精神，形成良好的劳动习惯，具备满足生存发展需要的基本劳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801" w:type="dxa"/>
            <w:vAlign w:val="center"/>
          </w:tcPr>
          <w:p>
            <w:pPr>
              <w:spacing w:line="360" w:lineRule="auto"/>
              <w:jc w:val="center"/>
              <w:rPr>
                <w:rFonts w:hint="default" w:ascii="宋体" w:hAnsi="宋体" w:eastAsia="宋体" w:cs="微软雅黑"/>
                <w:szCs w:val="21"/>
                <w:lang w:val="en-US" w:eastAsia="zh-CN"/>
              </w:rPr>
            </w:pPr>
            <w:r>
              <w:rPr>
                <w:rFonts w:hint="eastAsia" w:ascii="宋体" w:hAnsi="宋体" w:cs="微软雅黑"/>
                <w:szCs w:val="21"/>
                <w:lang w:val="en-US" w:eastAsia="zh-CN"/>
              </w:rPr>
              <w:t>17</w:t>
            </w:r>
          </w:p>
        </w:tc>
        <w:tc>
          <w:tcPr>
            <w:tcW w:w="1280" w:type="dxa"/>
            <w:vAlign w:val="center"/>
          </w:tcPr>
          <w:p>
            <w:pPr>
              <w:spacing w:line="360" w:lineRule="auto"/>
              <w:jc w:val="center"/>
              <w:rPr>
                <w:rFonts w:hint="eastAsia" w:ascii="宋体" w:hAnsi="宋体" w:cs="微软雅黑"/>
                <w:szCs w:val="21"/>
              </w:rPr>
            </w:pPr>
            <w:r>
              <w:rPr>
                <w:rFonts w:hint="eastAsia" w:ascii="宋体" w:hAnsi="宋体" w:eastAsia="宋体" w:cs="微软雅黑"/>
                <w:szCs w:val="21"/>
              </w:rPr>
              <w:t>习近平新时代中国特色社会主义思想概论</w:t>
            </w:r>
          </w:p>
        </w:tc>
        <w:tc>
          <w:tcPr>
            <w:tcW w:w="7010" w:type="dxa"/>
            <w:vAlign w:val="center"/>
          </w:tcPr>
          <w:p>
            <w:pPr>
              <w:widowControl/>
              <w:ind w:firstLine="420" w:firstLineChars="200"/>
              <w:jc w:val="left"/>
              <w:rPr>
                <w:rFonts w:hint="eastAsia" w:ascii="宋体" w:hAnsi="宋体" w:cs="微软雅黑"/>
                <w:szCs w:val="21"/>
              </w:rPr>
            </w:pPr>
            <w:r>
              <w:rPr>
                <w:rFonts w:hint="eastAsia" w:ascii="宋体" w:hAnsi="宋体" w:eastAsia="宋体" w:cs="微软雅黑"/>
                <w:szCs w:val="21"/>
              </w:rPr>
              <w:t>通过本课程的学习，学生能够全面、准确地理解习近平新时代中国特色社会主义思想创立的时代背景，掌握习近平新时代中国特色社会主义思想的科学理论体系，包括“五新”：一是新时代，二是新矛盾，三是新思想（理论主题、核心要义、核心内容），四是新征程，五是新建设（五位一体、党的建设），从而认识习近平新时代中国特色社会主义思想的历史地位和重大意义，增强学生对习近平新时代中国特色社会主义思想的政治认同、思想认同和情感认同，坚定走中国特色社会主义道路的决心和信心。</w:t>
            </w:r>
            <w:bookmarkStart w:id="0" w:name="_GoBack"/>
            <w:bookmarkEnd w:id="0"/>
          </w:p>
        </w:tc>
      </w:tr>
    </w:tbl>
    <w:p>
      <w:pPr>
        <w:spacing w:line="360" w:lineRule="auto"/>
        <w:jc w:val="center"/>
        <w:rPr>
          <w:rFonts w:ascii="宋体" w:hAnsi="宋体" w:cs="微软雅黑"/>
          <w:szCs w:val="21"/>
        </w:rPr>
      </w:pPr>
    </w:p>
    <w:p>
      <w:pPr>
        <w:adjustRightInd w:val="0"/>
        <w:spacing w:line="360" w:lineRule="auto"/>
        <w:ind w:firstLine="480" w:firstLineChars="200"/>
        <w:outlineLvl w:val="2"/>
        <w:rPr>
          <w:rFonts w:ascii="黑体" w:hAnsi="黑体" w:eastAsia="黑体"/>
          <w:sz w:val="24"/>
        </w:rPr>
      </w:pPr>
      <w:r>
        <w:rPr>
          <w:rFonts w:hint="eastAsia" w:ascii="黑体" w:hAnsi="黑体" w:eastAsia="黑体"/>
          <w:sz w:val="24"/>
        </w:rPr>
        <w:t>（三）专业（技能）课程</w:t>
      </w:r>
    </w:p>
    <w:p>
      <w:pPr>
        <w:spacing w:line="360" w:lineRule="auto"/>
        <w:ind w:firstLine="422" w:firstLineChars="200"/>
        <w:rPr>
          <w:rFonts w:ascii="宋体" w:hAnsi="宋体" w:cs="微软雅黑"/>
          <w:b/>
          <w:bCs/>
          <w:szCs w:val="21"/>
        </w:rPr>
      </w:pPr>
      <w:r>
        <w:rPr>
          <w:rFonts w:hint="eastAsia" w:ascii="宋体" w:hAnsi="宋体" w:cs="微软雅黑"/>
          <w:b/>
          <w:bCs/>
          <w:szCs w:val="21"/>
        </w:rPr>
        <w:t>1.专业核心课程</w:t>
      </w:r>
    </w:p>
    <w:p>
      <w:pPr>
        <w:spacing w:line="360" w:lineRule="auto"/>
        <w:ind w:firstLine="420" w:firstLineChars="200"/>
        <w:rPr>
          <w:rFonts w:ascii="宋体" w:hAnsi="宋体" w:cs="微软雅黑"/>
          <w:szCs w:val="21"/>
        </w:rPr>
      </w:pPr>
      <w:r>
        <w:rPr>
          <w:rFonts w:hint="eastAsia" w:ascii="宋体" w:hAnsi="宋体" w:cs="微软雅黑"/>
          <w:szCs w:val="21"/>
        </w:rPr>
        <w:t>汽车检测与维修技术专业核心课程教学内容及要求如表三所示。</w:t>
      </w:r>
    </w:p>
    <w:p>
      <w:pPr>
        <w:spacing w:line="360" w:lineRule="auto"/>
        <w:jc w:val="center"/>
        <w:rPr>
          <w:rFonts w:ascii="宋体" w:hAnsi="宋体" w:cs="微软雅黑"/>
          <w:szCs w:val="21"/>
        </w:rPr>
      </w:pPr>
      <w:r>
        <w:rPr>
          <w:rFonts w:hint="eastAsia" w:ascii="宋体" w:hAnsi="宋体" w:cs="微软雅黑"/>
          <w:szCs w:val="21"/>
        </w:rPr>
        <w:t>表三</w:t>
      </w:r>
      <w:r>
        <w:rPr>
          <w:rFonts w:ascii="宋体" w:hAnsi="宋体" w:cs="微软雅黑"/>
          <w:szCs w:val="21"/>
        </w:rPr>
        <w:t xml:space="preserve"> </w:t>
      </w:r>
      <w:r>
        <w:rPr>
          <w:rFonts w:hint="eastAsia" w:ascii="宋体" w:hAnsi="宋体" w:cs="微软雅黑"/>
          <w:szCs w:val="21"/>
        </w:rPr>
        <w:t>汽车检测与维修技术专业核心课程教学内容及要求</w:t>
      </w:r>
    </w:p>
    <w:tbl>
      <w:tblPr>
        <w:tblStyle w:val="6"/>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280"/>
        <w:gridCol w:w="6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801" w:type="dxa"/>
            <w:vAlign w:val="center"/>
          </w:tcPr>
          <w:p>
            <w:pPr>
              <w:jc w:val="center"/>
              <w:rPr>
                <w:rFonts w:ascii="宋体" w:hAnsi="宋体" w:cs="微软雅黑"/>
                <w:szCs w:val="21"/>
              </w:rPr>
            </w:pPr>
            <w:r>
              <w:rPr>
                <w:rFonts w:hint="eastAsia" w:ascii="宋体" w:hAnsi="宋体" w:cs="微软雅黑"/>
                <w:szCs w:val="21"/>
              </w:rPr>
              <w:t>序号</w:t>
            </w:r>
          </w:p>
        </w:tc>
        <w:tc>
          <w:tcPr>
            <w:tcW w:w="1280" w:type="dxa"/>
            <w:vAlign w:val="center"/>
          </w:tcPr>
          <w:p>
            <w:pPr>
              <w:jc w:val="center"/>
              <w:rPr>
                <w:rFonts w:ascii="宋体" w:hAnsi="宋体" w:cs="微软雅黑"/>
                <w:szCs w:val="21"/>
              </w:rPr>
            </w:pPr>
            <w:r>
              <w:rPr>
                <w:rFonts w:hint="eastAsia" w:ascii="宋体" w:hAnsi="宋体" w:cs="微软雅黑"/>
                <w:szCs w:val="21"/>
              </w:rPr>
              <w:t>课程名称</w:t>
            </w:r>
          </w:p>
        </w:tc>
        <w:tc>
          <w:tcPr>
            <w:tcW w:w="6860" w:type="dxa"/>
            <w:vAlign w:val="center"/>
          </w:tcPr>
          <w:p>
            <w:pPr>
              <w:jc w:val="center"/>
              <w:rPr>
                <w:rFonts w:ascii="宋体" w:hAnsi="宋体" w:cs="微软雅黑"/>
                <w:szCs w:val="21"/>
              </w:rPr>
            </w:pPr>
            <w:r>
              <w:rPr>
                <w:rFonts w:hint="eastAsia" w:ascii="宋体" w:hAnsi="宋体" w:cs="微软雅黑"/>
                <w:szCs w:val="21"/>
              </w:rPr>
              <w:t>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jc w:val="center"/>
              <w:rPr>
                <w:rFonts w:ascii="宋体" w:hAnsi="宋体" w:cs="微软雅黑"/>
                <w:szCs w:val="21"/>
              </w:rPr>
            </w:pPr>
            <w:r>
              <w:rPr>
                <w:rFonts w:hint="eastAsia" w:ascii="宋体" w:hAnsi="宋体" w:cs="微软雅黑"/>
                <w:szCs w:val="21"/>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微软雅黑"/>
                <w:szCs w:val="21"/>
              </w:rPr>
            </w:pPr>
            <w:r>
              <w:rPr>
                <w:rFonts w:hint="eastAsia"/>
                <w:szCs w:val="21"/>
              </w:rPr>
              <w:t>汽车发动机械系统检测</w:t>
            </w:r>
          </w:p>
        </w:tc>
        <w:tc>
          <w:tcPr>
            <w:tcW w:w="6860" w:type="dxa"/>
            <w:vAlign w:val="center"/>
          </w:tcPr>
          <w:p>
            <w:pPr>
              <w:widowControl/>
              <w:ind w:firstLine="420" w:firstLineChars="200"/>
              <w:jc w:val="left"/>
              <w:rPr>
                <w:rFonts w:ascii="宋体" w:hAnsi="宋体" w:cs="宋体"/>
                <w:szCs w:val="21"/>
              </w:rPr>
            </w:pPr>
            <w:r>
              <w:rPr>
                <w:rFonts w:hint="eastAsia" w:ascii="宋体" w:hAnsi="宋体" w:cs="宋体"/>
                <w:szCs w:val="21"/>
              </w:rPr>
              <w:t>本课程采用“教学做一体化”教学模式组成教学活动。主要学习汽车发动机的基本组成与工作原理，发动机曲柄连杆机构的组成、构造、工作原理与保养维护，配气机构的组成、构造、工作原理、正时安装、保护维护，发动机供给系的组成、构造、工作原理、系统性能诊断检测，润滑系统的组成、构造、保养维护，冷却系的组成、构造与保养维护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jc w:val="center"/>
              <w:rPr>
                <w:rFonts w:ascii="宋体" w:hAnsi="宋体" w:cs="微软雅黑"/>
                <w:szCs w:val="21"/>
              </w:rPr>
            </w:pPr>
            <w:r>
              <w:rPr>
                <w:rFonts w:hint="eastAsia" w:ascii="宋体" w:hAnsi="宋体" w:cs="微软雅黑"/>
                <w:szCs w:val="21"/>
              </w:rPr>
              <w:t>2</w:t>
            </w:r>
          </w:p>
        </w:tc>
        <w:tc>
          <w:tcPr>
            <w:tcW w:w="1280"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微软雅黑"/>
                <w:szCs w:val="21"/>
              </w:rPr>
            </w:pPr>
            <w:r>
              <w:rPr>
                <w:rFonts w:hint="eastAsia"/>
                <w:szCs w:val="21"/>
              </w:rPr>
              <w:t>汽车底盘构造与检修</w:t>
            </w:r>
          </w:p>
        </w:tc>
        <w:tc>
          <w:tcPr>
            <w:tcW w:w="6860" w:type="dxa"/>
            <w:vAlign w:val="center"/>
          </w:tcPr>
          <w:p>
            <w:pPr>
              <w:widowControl/>
              <w:ind w:firstLine="420" w:firstLineChars="200"/>
              <w:jc w:val="left"/>
              <w:rPr>
                <w:rFonts w:ascii="宋体" w:hAnsi="宋体" w:cs="宋体"/>
                <w:szCs w:val="21"/>
              </w:rPr>
            </w:pPr>
            <w:r>
              <w:rPr>
                <w:rFonts w:hint="eastAsia" w:ascii="宋体" w:hAnsi="宋体" w:cs="宋体"/>
                <w:szCs w:val="21"/>
              </w:rPr>
              <w:t>本课程采用“教学做一体化”模式组成教学。本课程主要学习汽车机械传动系统（</w:t>
            </w:r>
            <w:r>
              <w:rPr>
                <w:rFonts w:hint="eastAsia" w:ascii="宋体" w:hAnsi="宋体" w:cs="微软雅黑"/>
                <w:szCs w:val="21"/>
              </w:rPr>
              <w:t>摩擦式离合器</w:t>
            </w:r>
            <w:r>
              <w:rPr>
                <w:rFonts w:hint="eastAsia" w:ascii="宋体" w:hAnsi="宋体" w:cs="宋体"/>
                <w:szCs w:val="21"/>
              </w:rPr>
              <w:t>、机械手动变速器、常规差速器及后桥）、汽车转向系（机械转向系、电子转向系、液压动转向系）、汽车制动系（机械制动力系、液压制动系、气压制动系）、汽车常规行驶系的类型、组成、工作原理、使用维护、检查调整、诊断检测、故障排除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jc w:val="center"/>
              <w:rPr>
                <w:rFonts w:ascii="宋体" w:hAnsi="宋体" w:cs="微软雅黑"/>
                <w:szCs w:val="21"/>
              </w:rPr>
            </w:pPr>
            <w:r>
              <w:rPr>
                <w:rFonts w:hint="eastAsia" w:ascii="宋体" w:hAnsi="宋体" w:cs="微软雅黑"/>
                <w:szCs w:val="21"/>
              </w:rPr>
              <w:t>3</w:t>
            </w:r>
          </w:p>
        </w:tc>
        <w:tc>
          <w:tcPr>
            <w:tcW w:w="1280"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微软雅黑"/>
                <w:szCs w:val="21"/>
              </w:rPr>
            </w:pPr>
            <w:r>
              <w:rPr>
                <w:rFonts w:hint="eastAsia"/>
                <w:szCs w:val="21"/>
              </w:rPr>
              <w:t>汽车电气设备构造与维修</w:t>
            </w:r>
          </w:p>
        </w:tc>
        <w:tc>
          <w:tcPr>
            <w:tcW w:w="6860" w:type="dxa"/>
            <w:vAlign w:val="center"/>
          </w:tcPr>
          <w:p>
            <w:pPr>
              <w:widowControl/>
              <w:ind w:firstLine="420" w:firstLineChars="200"/>
              <w:jc w:val="left"/>
              <w:rPr>
                <w:rFonts w:ascii="宋体" w:hAnsi="宋体" w:cs="微软雅黑"/>
                <w:szCs w:val="21"/>
              </w:rPr>
            </w:pPr>
            <w:r>
              <w:rPr>
                <w:rFonts w:hint="eastAsia" w:ascii="宋体" w:hAnsi="宋体" w:cs="宋体"/>
                <w:szCs w:val="21"/>
              </w:rPr>
              <w:t>本课程采用“教学做一体化”模式组成教学。主要学习汽车电源系统、启动系统、点火系统、仪表系统、照明系统、信号系统、辅助系统（主要包括雨刮系统、音响系统、显示系统、电子诊断系统）等电器元件的构造、工作原理、检查调整与使用维护；学习上述系统常见故障的分析、诊断检测与故障排除方法与技巧；学习通用与汽车专用电工仪表的正确选择、使用、维护保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jc w:val="center"/>
              <w:rPr>
                <w:rFonts w:ascii="宋体" w:hAnsi="宋体" w:cs="微软雅黑"/>
                <w:szCs w:val="21"/>
              </w:rPr>
            </w:pPr>
            <w:r>
              <w:rPr>
                <w:rFonts w:hint="eastAsia" w:ascii="宋体" w:hAnsi="宋体" w:cs="微软雅黑"/>
                <w:szCs w:val="21"/>
              </w:rPr>
              <w:t>4</w:t>
            </w:r>
          </w:p>
        </w:tc>
        <w:tc>
          <w:tcPr>
            <w:tcW w:w="1280"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微软雅黑"/>
                <w:szCs w:val="21"/>
              </w:rPr>
            </w:pPr>
            <w:r>
              <w:rPr>
                <w:rFonts w:hint="eastAsia"/>
                <w:szCs w:val="21"/>
              </w:rPr>
              <w:t>汽车发动机电控系统检修</w:t>
            </w:r>
          </w:p>
        </w:tc>
        <w:tc>
          <w:tcPr>
            <w:tcW w:w="6860" w:type="dxa"/>
            <w:vAlign w:val="center"/>
          </w:tcPr>
          <w:p>
            <w:pPr>
              <w:widowControl/>
              <w:ind w:firstLine="420" w:firstLineChars="200"/>
              <w:jc w:val="left"/>
              <w:rPr>
                <w:rFonts w:ascii="宋体" w:hAnsi="宋体" w:cs="宋体"/>
                <w:szCs w:val="21"/>
              </w:rPr>
            </w:pPr>
            <w:r>
              <w:rPr>
                <w:rFonts w:hint="eastAsia" w:ascii="宋体" w:hAnsi="宋体" w:cs="宋体"/>
                <w:szCs w:val="21"/>
              </w:rPr>
              <w:t>本课程主要学习汽车电子控制系统的基本组成与工作原理；汽车电控燃油喷射系统、发动机怠速电子控制装置、汽车发动机电子控制点火系统、电控进气增压</w:t>
            </w:r>
            <w:r>
              <w:rPr>
                <w:rFonts w:hint="eastAsia" w:ascii="宋体" w:hAnsi="宋体" w:cs="微软雅黑"/>
                <w:szCs w:val="21"/>
              </w:rPr>
              <w:t>系统</w:t>
            </w:r>
            <w:r>
              <w:rPr>
                <w:rFonts w:hint="eastAsia" w:ascii="宋体" w:hAnsi="宋体" w:cs="宋体"/>
                <w:szCs w:val="21"/>
              </w:rPr>
              <w:t>、的基本组成、工作原理、常见故障分析与诊断排除等内容，同时，学习汽车保修工具常见工具、仪器仪表的合理选择与正确使用。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jc w:val="center"/>
              <w:rPr>
                <w:rFonts w:ascii="宋体" w:hAnsi="宋体" w:cs="微软雅黑"/>
                <w:szCs w:val="21"/>
              </w:rPr>
            </w:pPr>
            <w:r>
              <w:rPr>
                <w:rFonts w:hint="eastAsia" w:ascii="宋体" w:hAnsi="宋体" w:cs="微软雅黑"/>
                <w:szCs w:val="21"/>
              </w:rPr>
              <w:t>5</w:t>
            </w:r>
          </w:p>
        </w:tc>
        <w:tc>
          <w:tcPr>
            <w:tcW w:w="1280"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微软雅黑"/>
                <w:szCs w:val="21"/>
              </w:rPr>
            </w:pPr>
            <w:r>
              <w:rPr>
                <w:rFonts w:hint="eastAsia"/>
                <w:szCs w:val="21"/>
              </w:rPr>
              <w:t>汽车维护与保养</w:t>
            </w:r>
          </w:p>
        </w:tc>
        <w:tc>
          <w:tcPr>
            <w:tcW w:w="6860" w:type="dxa"/>
            <w:vAlign w:val="center"/>
          </w:tcPr>
          <w:p>
            <w:pPr>
              <w:widowControl/>
              <w:ind w:firstLine="420" w:firstLineChars="200"/>
              <w:jc w:val="left"/>
              <w:rPr>
                <w:rFonts w:ascii="宋体" w:hAnsi="宋体" w:cs="宋体"/>
                <w:szCs w:val="21"/>
              </w:rPr>
            </w:pPr>
            <w:r>
              <w:rPr>
                <w:rFonts w:hint="eastAsia" w:ascii="宋体" w:hAnsi="宋体" w:cs="宋体"/>
                <w:szCs w:val="21"/>
              </w:rPr>
              <w:t>本课程主要学习汽车维护与</w:t>
            </w:r>
            <w:r>
              <w:rPr>
                <w:rFonts w:hint="eastAsia" w:ascii="宋体" w:hAnsi="宋体" w:cs="微软雅黑"/>
                <w:szCs w:val="21"/>
              </w:rPr>
              <w:t>保养</w:t>
            </w:r>
            <w:r>
              <w:rPr>
                <w:rFonts w:hint="eastAsia" w:ascii="宋体" w:hAnsi="宋体" w:cs="宋体"/>
                <w:szCs w:val="21"/>
              </w:rPr>
              <w:t>的材料及设备使用技术、汽车定期与非定期维护保养、汽车车型维护与保养等操作的基本理论和实际操作知识。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jc w:val="center"/>
              <w:rPr>
                <w:rFonts w:ascii="宋体" w:hAnsi="宋体" w:cs="微软雅黑"/>
                <w:szCs w:val="21"/>
              </w:rPr>
            </w:pPr>
            <w:r>
              <w:rPr>
                <w:rFonts w:hint="eastAsia" w:ascii="宋体" w:hAnsi="宋体" w:cs="微软雅黑"/>
                <w:szCs w:val="21"/>
              </w:rPr>
              <w:t>6</w:t>
            </w:r>
          </w:p>
        </w:tc>
        <w:tc>
          <w:tcPr>
            <w:tcW w:w="1280"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微软雅黑"/>
                <w:szCs w:val="21"/>
              </w:rPr>
            </w:pPr>
            <w:r>
              <w:rPr>
                <w:rFonts w:hint="eastAsia"/>
                <w:szCs w:val="21"/>
              </w:rPr>
              <w:t>汽车故障诊断技术</w:t>
            </w:r>
          </w:p>
        </w:tc>
        <w:tc>
          <w:tcPr>
            <w:tcW w:w="6860" w:type="dxa"/>
            <w:vAlign w:val="center"/>
          </w:tcPr>
          <w:p>
            <w:pPr>
              <w:widowControl/>
              <w:ind w:firstLine="420" w:firstLineChars="200"/>
              <w:jc w:val="left"/>
              <w:rPr>
                <w:rFonts w:ascii="宋体" w:hAnsi="宋体" w:cs="宋体"/>
                <w:szCs w:val="21"/>
              </w:rPr>
            </w:pPr>
            <w:r>
              <w:rPr>
                <w:rFonts w:hint="eastAsia" w:ascii="宋体" w:hAnsi="宋体" w:cs="宋体"/>
                <w:szCs w:val="21"/>
              </w:rPr>
              <w:t>本课程采用</w:t>
            </w:r>
            <w:r>
              <w:rPr>
                <w:rFonts w:hint="eastAsia" w:ascii="宋体" w:hAnsi="宋体" w:cs="微软雅黑"/>
                <w:szCs w:val="21"/>
              </w:rPr>
              <w:t>“教学做一体化”</w:t>
            </w:r>
            <w:r>
              <w:rPr>
                <w:rFonts w:hint="eastAsia" w:ascii="宋体" w:hAnsi="宋体" w:cs="宋体"/>
                <w:szCs w:val="21"/>
              </w:rPr>
              <w:t>方式组织教学。主要讲授汽车发动机、底盘、电气系统、安全与舒适系统、汽车局域网系统、汽车仪表与显示系统的诊断与检测技术。</w:t>
            </w:r>
          </w:p>
        </w:tc>
      </w:tr>
    </w:tbl>
    <w:p>
      <w:pPr>
        <w:spacing w:line="360" w:lineRule="auto"/>
        <w:ind w:firstLine="422" w:firstLineChars="200"/>
        <w:rPr>
          <w:rFonts w:ascii="宋体" w:hAnsi="宋体" w:cs="微软雅黑"/>
          <w:b/>
          <w:bCs/>
          <w:szCs w:val="21"/>
        </w:rPr>
      </w:pPr>
    </w:p>
    <w:p>
      <w:pPr>
        <w:spacing w:line="360" w:lineRule="auto"/>
        <w:ind w:firstLine="422" w:firstLineChars="200"/>
        <w:rPr>
          <w:rFonts w:ascii="宋体" w:hAnsi="宋体" w:cs="微软雅黑"/>
          <w:b/>
          <w:bCs/>
          <w:szCs w:val="21"/>
        </w:rPr>
      </w:pPr>
      <w:r>
        <w:rPr>
          <w:rFonts w:hint="eastAsia" w:ascii="宋体" w:hAnsi="宋体" w:cs="微软雅黑"/>
          <w:b/>
          <w:bCs/>
          <w:szCs w:val="21"/>
        </w:rPr>
        <w:t>2.其它专业课</w:t>
      </w:r>
    </w:p>
    <w:p>
      <w:pPr>
        <w:spacing w:line="360" w:lineRule="auto"/>
        <w:ind w:firstLine="420" w:firstLineChars="200"/>
        <w:rPr>
          <w:rFonts w:ascii="宋体" w:hAnsi="宋体" w:cs="微软雅黑"/>
          <w:szCs w:val="21"/>
        </w:rPr>
      </w:pPr>
      <w:r>
        <w:rPr>
          <w:rFonts w:hint="eastAsia" w:ascii="宋体" w:hAnsi="宋体" w:cs="微软雅黑"/>
          <w:szCs w:val="21"/>
        </w:rPr>
        <w:t>汽车检测与维修技术专业其它专业课程教学内容及要求如表四所示。</w:t>
      </w:r>
    </w:p>
    <w:p>
      <w:pPr>
        <w:spacing w:line="360" w:lineRule="auto"/>
        <w:jc w:val="center"/>
        <w:rPr>
          <w:rFonts w:ascii="宋体" w:hAnsi="宋体" w:cs="微软雅黑"/>
          <w:szCs w:val="21"/>
        </w:rPr>
      </w:pPr>
      <w:r>
        <w:rPr>
          <w:rFonts w:hint="eastAsia" w:ascii="宋体" w:hAnsi="宋体" w:cs="微软雅黑"/>
          <w:szCs w:val="21"/>
        </w:rPr>
        <w:t>表四</w:t>
      </w:r>
      <w:r>
        <w:rPr>
          <w:rFonts w:ascii="宋体" w:hAnsi="宋体" w:cs="微软雅黑"/>
          <w:szCs w:val="21"/>
        </w:rPr>
        <w:t xml:space="preserve"> </w:t>
      </w:r>
      <w:r>
        <w:rPr>
          <w:rFonts w:hint="eastAsia" w:ascii="宋体" w:hAnsi="宋体" w:cs="微软雅黑"/>
          <w:szCs w:val="21"/>
        </w:rPr>
        <w:t>汽车检测与维修技术专业其它专业课程教学内容及要求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280"/>
        <w:gridCol w:w="6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01" w:type="dxa"/>
            <w:vAlign w:val="center"/>
          </w:tcPr>
          <w:p>
            <w:pPr>
              <w:jc w:val="center"/>
              <w:rPr>
                <w:rFonts w:ascii="宋体" w:hAnsi="宋体" w:cs="微软雅黑"/>
                <w:szCs w:val="21"/>
              </w:rPr>
            </w:pPr>
            <w:r>
              <w:rPr>
                <w:rFonts w:hint="eastAsia" w:ascii="宋体" w:hAnsi="宋体" w:cs="微软雅黑"/>
                <w:szCs w:val="21"/>
              </w:rPr>
              <w:t>序号</w:t>
            </w:r>
          </w:p>
        </w:tc>
        <w:tc>
          <w:tcPr>
            <w:tcW w:w="1280" w:type="dxa"/>
            <w:vAlign w:val="center"/>
          </w:tcPr>
          <w:p>
            <w:pPr>
              <w:jc w:val="center"/>
              <w:rPr>
                <w:rFonts w:ascii="宋体" w:hAnsi="宋体" w:cs="微软雅黑"/>
                <w:szCs w:val="21"/>
              </w:rPr>
            </w:pPr>
            <w:r>
              <w:rPr>
                <w:rFonts w:hint="eastAsia" w:ascii="宋体" w:hAnsi="宋体" w:cs="微软雅黑"/>
                <w:szCs w:val="21"/>
              </w:rPr>
              <w:t>课程名称</w:t>
            </w:r>
          </w:p>
        </w:tc>
        <w:tc>
          <w:tcPr>
            <w:tcW w:w="6822" w:type="dxa"/>
            <w:vAlign w:val="center"/>
          </w:tcPr>
          <w:p>
            <w:pPr>
              <w:jc w:val="center"/>
              <w:rPr>
                <w:rFonts w:ascii="宋体" w:hAnsi="宋体" w:cs="微软雅黑"/>
                <w:szCs w:val="21"/>
              </w:rPr>
            </w:pPr>
            <w:r>
              <w:rPr>
                <w:rFonts w:hint="eastAsia" w:ascii="宋体" w:hAnsi="宋体" w:cs="微软雅黑"/>
                <w:szCs w:val="21"/>
              </w:rPr>
              <w:t>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jc w:val="center"/>
              <w:rPr>
                <w:rFonts w:ascii="宋体" w:hAnsi="宋体" w:cs="微软雅黑"/>
                <w:szCs w:val="21"/>
              </w:rPr>
            </w:pPr>
            <w:r>
              <w:rPr>
                <w:rFonts w:hint="eastAsia" w:ascii="宋体" w:hAnsi="宋体" w:cs="微软雅黑"/>
                <w:szCs w:val="21"/>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微软雅黑"/>
                <w:szCs w:val="21"/>
              </w:rPr>
            </w:pPr>
            <w:r>
              <w:rPr>
                <w:rFonts w:hint="eastAsia"/>
                <w:szCs w:val="21"/>
              </w:rPr>
              <w:t>汽车机械基础</w:t>
            </w:r>
          </w:p>
        </w:tc>
        <w:tc>
          <w:tcPr>
            <w:tcW w:w="6822" w:type="dxa"/>
            <w:vAlign w:val="center"/>
          </w:tcPr>
          <w:p>
            <w:pPr>
              <w:widowControl/>
              <w:ind w:firstLine="420" w:firstLineChars="200"/>
              <w:jc w:val="left"/>
              <w:rPr>
                <w:rFonts w:ascii="宋体" w:hAnsi="宋体" w:cs="宋体"/>
                <w:szCs w:val="21"/>
              </w:rPr>
            </w:pPr>
            <w:r>
              <w:rPr>
                <w:rFonts w:hint="eastAsia" w:ascii="宋体" w:hAnsi="宋体" w:cs="宋体"/>
                <w:szCs w:val="21"/>
              </w:rPr>
              <w:t>本课程主要学习金属材料、常用机械和机构、机械传动、液压和液力传动等知识。其目的在于培养学生在汽车维修电工、汽车维修机工、汽车美容与装潢、汽车钣金、汽车涂装、汽车商务等专业方向的基本职业能力，为后续汽车专业知识的学习做前期准备，同时培养学生具有一定的动手能力、逻辑思维和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jc w:val="center"/>
              <w:rPr>
                <w:rFonts w:ascii="宋体" w:hAnsi="宋体" w:cs="微软雅黑"/>
                <w:szCs w:val="21"/>
              </w:rPr>
            </w:pPr>
            <w:r>
              <w:rPr>
                <w:rFonts w:hint="eastAsia" w:ascii="宋体" w:hAnsi="宋体" w:cs="微软雅黑"/>
                <w:szCs w:val="21"/>
              </w:rPr>
              <w:t>2</w:t>
            </w:r>
          </w:p>
        </w:tc>
        <w:tc>
          <w:tcPr>
            <w:tcW w:w="1280"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微软雅黑"/>
                <w:szCs w:val="21"/>
              </w:rPr>
            </w:pPr>
            <w:r>
              <w:rPr>
                <w:rFonts w:hint="eastAsia"/>
                <w:szCs w:val="21"/>
              </w:rPr>
              <w:t>汽车机械制图</w:t>
            </w:r>
          </w:p>
        </w:tc>
        <w:tc>
          <w:tcPr>
            <w:tcW w:w="6822" w:type="dxa"/>
            <w:vAlign w:val="center"/>
          </w:tcPr>
          <w:p>
            <w:pPr>
              <w:widowControl/>
              <w:ind w:firstLine="420" w:firstLineChars="200"/>
              <w:jc w:val="left"/>
              <w:rPr>
                <w:rFonts w:ascii="宋体" w:hAnsi="宋体" w:cs="宋体"/>
                <w:szCs w:val="21"/>
              </w:rPr>
            </w:pPr>
            <w:r>
              <w:rPr>
                <w:rFonts w:hint="eastAsia" w:ascii="宋体" w:hAnsi="宋体" w:cs="宋体"/>
                <w:szCs w:val="21"/>
              </w:rPr>
              <w:t>本课程主要学习制图的基本知识，零件图的绘制及读图，装配图的读图等专业知识，培养</w:t>
            </w:r>
            <w:r>
              <w:rPr>
                <w:rFonts w:hint="eastAsia" w:ascii="宋体" w:hAnsi="宋体" w:cs="微软雅黑"/>
                <w:szCs w:val="21"/>
              </w:rPr>
              <w:t>应用型</w:t>
            </w:r>
            <w:r>
              <w:rPr>
                <w:rFonts w:hint="eastAsia" w:ascii="宋体" w:hAnsi="宋体" w:cs="宋体"/>
                <w:szCs w:val="21"/>
              </w:rPr>
              <w:t>汽车专业技术人才所需的读图和绘图能力及空间想象能力。同时为学习后续其它相关课程和专业知识以及毕业后从事相关工作打下坚实的理论与实践基础。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jc w:val="center"/>
              <w:rPr>
                <w:rFonts w:ascii="宋体" w:hAnsi="宋体" w:cs="微软雅黑"/>
                <w:szCs w:val="21"/>
              </w:rPr>
            </w:pPr>
            <w:r>
              <w:rPr>
                <w:rFonts w:ascii="宋体" w:hAnsi="宋体" w:cs="微软雅黑"/>
                <w:szCs w:val="21"/>
              </w:rPr>
              <w:t>3</w:t>
            </w:r>
          </w:p>
        </w:tc>
        <w:tc>
          <w:tcPr>
            <w:tcW w:w="1280"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微软雅黑"/>
                <w:szCs w:val="21"/>
              </w:rPr>
            </w:pPr>
            <w:r>
              <w:rPr>
                <w:rFonts w:hint="eastAsia"/>
                <w:szCs w:val="21"/>
              </w:rPr>
              <w:t>汽车电工电子</w:t>
            </w:r>
          </w:p>
        </w:tc>
        <w:tc>
          <w:tcPr>
            <w:tcW w:w="6822" w:type="dxa"/>
            <w:vAlign w:val="center"/>
          </w:tcPr>
          <w:p>
            <w:pPr>
              <w:widowControl/>
              <w:ind w:firstLine="420" w:firstLineChars="200"/>
              <w:jc w:val="left"/>
              <w:rPr>
                <w:rFonts w:ascii="宋体" w:hAnsi="宋体" w:cs="宋体"/>
                <w:szCs w:val="21"/>
              </w:rPr>
            </w:pPr>
            <w:r>
              <w:rPr>
                <w:rFonts w:hint="eastAsia" w:ascii="宋体" w:hAnsi="宋体" w:cs="宋体"/>
                <w:szCs w:val="21"/>
              </w:rPr>
              <w:t>本课程主要学习电工基础知识、电磁感应、正弦交流电路、三相异步电动机、直流电动机、电工测量仪器仪表、二极管电路、晶体管放大电路、数字电路等内容，是</w:t>
            </w:r>
            <w:r>
              <w:rPr>
                <w:rFonts w:hint="eastAsia" w:ascii="宋体" w:hAnsi="宋体" w:cs="微软雅黑"/>
                <w:szCs w:val="21"/>
              </w:rPr>
              <w:t>汽车检测与维修技术</w:t>
            </w:r>
            <w:r>
              <w:rPr>
                <w:rFonts w:hint="eastAsia" w:ascii="宋体" w:hAnsi="宋体" w:cs="宋体"/>
                <w:szCs w:val="21"/>
              </w:rPr>
              <w:t>职业能力课程，其目标是让学生掌握汽车涉及的电工电子电路的基础知识和对电路进行检测的基本操作技能。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jc w:val="center"/>
              <w:rPr>
                <w:rFonts w:ascii="宋体" w:hAnsi="宋体" w:cs="微软雅黑"/>
                <w:szCs w:val="21"/>
              </w:rPr>
            </w:pPr>
            <w:r>
              <w:rPr>
                <w:rFonts w:ascii="宋体" w:hAnsi="宋体" w:cs="微软雅黑"/>
                <w:szCs w:val="21"/>
              </w:rPr>
              <w:t>4</w:t>
            </w:r>
          </w:p>
        </w:tc>
        <w:tc>
          <w:tcPr>
            <w:tcW w:w="1280"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微软雅黑"/>
                <w:szCs w:val="21"/>
              </w:rPr>
            </w:pPr>
            <w:r>
              <w:rPr>
                <w:rFonts w:hint="eastAsia"/>
                <w:szCs w:val="21"/>
              </w:rPr>
              <w:t>汽车文化与汽车常识</w:t>
            </w:r>
          </w:p>
        </w:tc>
        <w:tc>
          <w:tcPr>
            <w:tcW w:w="6822" w:type="dxa"/>
            <w:vAlign w:val="center"/>
          </w:tcPr>
          <w:p>
            <w:pPr>
              <w:widowControl/>
              <w:ind w:firstLine="420" w:firstLineChars="200"/>
              <w:jc w:val="left"/>
              <w:rPr>
                <w:rFonts w:ascii="宋体" w:hAnsi="宋体" w:cs="宋体"/>
                <w:szCs w:val="21"/>
              </w:rPr>
            </w:pPr>
            <w:r>
              <w:rPr>
                <w:rFonts w:hint="eastAsia" w:ascii="宋体" w:hAnsi="宋体" w:cs="宋体"/>
                <w:szCs w:val="21"/>
              </w:rPr>
              <w:t>通过对本课程学习，了解汽车的有关常识、汽车历史、汽车名人选购技巧汽车按键和指示仪表的标识、世界著名汽车公司、汽车的外形和色彩、汽车运动、汽车的未来、安全驾驶、汽车公害等。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jc w:val="center"/>
              <w:rPr>
                <w:rFonts w:ascii="宋体" w:hAnsi="宋体" w:cs="微软雅黑"/>
                <w:szCs w:val="21"/>
              </w:rPr>
            </w:pPr>
            <w:r>
              <w:rPr>
                <w:rFonts w:ascii="宋体" w:hAnsi="宋体" w:cs="微软雅黑"/>
                <w:szCs w:val="21"/>
              </w:rPr>
              <w:t>5</w:t>
            </w:r>
          </w:p>
        </w:tc>
        <w:tc>
          <w:tcPr>
            <w:tcW w:w="1280"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微软雅黑"/>
                <w:szCs w:val="21"/>
              </w:rPr>
            </w:pPr>
            <w:r>
              <w:rPr>
                <w:rFonts w:hint="eastAsia"/>
                <w:szCs w:val="21"/>
              </w:rPr>
              <w:t>汽车底盘电控系统检修</w:t>
            </w:r>
          </w:p>
        </w:tc>
        <w:tc>
          <w:tcPr>
            <w:tcW w:w="6822" w:type="dxa"/>
            <w:vAlign w:val="center"/>
          </w:tcPr>
          <w:p>
            <w:pPr>
              <w:widowControl/>
              <w:ind w:firstLine="420" w:firstLineChars="200"/>
              <w:jc w:val="left"/>
              <w:rPr>
                <w:rFonts w:ascii="宋体" w:hAnsi="宋体" w:cs="宋体"/>
                <w:szCs w:val="21"/>
              </w:rPr>
            </w:pPr>
            <w:r>
              <w:rPr>
                <w:rFonts w:hint="eastAsia" w:ascii="宋体" w:hAnsi="宋体" w:cs="宋体"/>
                <w:szCs w:val="21"/>
              </w:rPr>
              <w:t>本课程采用“教学做一体化”模式组成教学。本课程主要学习汽车自动变速器系统、防抱死制动系统、电子制动力分配系统、车身控制系统、安全气囊系统、巡航与自动驾驶系统等现代汽车底盘电子控制系统的类型、组成、工作原理、使用维护、检查调整、诊断检测、故障排除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jc w:val="center"/>
              <w:rPr>
                <w:rFonts w:ascii="宋体" w:hAnsi="宋体" w:cs="微软雅黑"/>
                <w:szCs w:val="21"/>
              </w:rPr>
            </w:pPr>
            <w:r>
              <w:rPr>
                <w:rFonts w:ascii="宋体" w:hAnsi="宋体" w:cs="微软雅黑"/>
                <w:szCs w:val="21"/>
              </w:rPr>
              <w:t>6</w:t>
            </w:r>
          </w:p>
        </w:tc>
        <w:tc>
          <w:tcPr>
            <w:tcW w:w="1280"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微软雅黑"/>
                <w:szCs w:val="21"/>
              </w:rPr>
            </w:pPr>
            <w:r>
              <w:rPr>
                <w:rFonts w:hint="eastAsia"/>
                <w:szCs w:val="21"/>
              </w:rPr>
              <w:t>汽车空调维护与检修</w:t>
            </w:r>
          </w:p>
        </w:tc>
        <w:tc>
          <w:tcPr>
            <w:tcW w:w="6822" w:type="dxa"/>
            <w:vAlign w:val="center"/>
          </w:tcPr>
          <w:p>
            <w:pPr>
              <w:widowControl/>
              <w:ind w:firstLine="420" w:firstLineChars="200"/>
              <w:jc w:val="left"/>
              <w:rPr>
                <w:rFonts w:ascii="宋体" w:hAnsi="宋体" w:cs="宋体"/>
                <w:szCs w:val="21"/>
              </w:rPr>
            </w:pPr>
            <w:r>
              <w:rPr>
                <w:rFonts w:hint="eastAsia" w:ascii="宋体" w:hAnsi="宋体" w:cs="宋体"/>
                <w:szCs w:val="21"/>
              </w:rPr>
              <w:t>本课程采用“教学做一体化”方式组织教学。主要培养学生掌握汽车空调系统的结构、工作原理，空调系统的使用保养方法、制冷系统的检测以及故障排除的方法。</w:t>
            </w:r>
          </w:p>
        </w:tc>
      </w:tr>
    </w:tbl>
    <w:p>
      <w:pPr>
        <w:spacing w:line="360" w:lineRule="auto"/>
        <w:jc w:val="center"/>
        <w:rPr>
          <w:rFonts w:ascii="宋体" w:hAnsi="宋体" w:cs="微软雅黑"/>
          <w:szCs w:val="21"/>
        </w:rPr>
      </w:pPr>
    </w:p>
    <w:p>
      <w:pPr>
        <w:spacing w:line="360" w:lineRule="auto"/>
        <w:ind w:firstLine="422" w:firstLineChars="200"/>
        <w:rPr>
          <w:rFonts w:ascii="宋体" w:hAnsi="宋体" w:cs="微软雅黑"/>
          <w:b/>
          <w:bCs/>
          <w:szCs w:val="21"/>
        </w:rPr>
      </w:pPr>
      <w:r>
        <w:rPr>
          <w:rFonts w:hint="eastAsia" w:ascii="宋体" w:hAnsi="宋体" w:cs="微软雅黑"/>
          <w:b/>
          <w:bCs/>
          <w:szCs w:val="21"/>
        </w:rPr>
        <w:t>3.实训实习课程</w:t>
      </w:r>
    </w:p>
    <w:p>
      <w:pPr>
        <w:spacing w:line="360" w:lineRule="auto"/>
        <w:ind w:firstLine="420" w:firstLineChars="200"/>
        <w:rPr>
          <w:rFonts w:ascii="宋体" w:hAnsi="宋体" w:cs="微软雅黑"/>
          <w:szCs w:val="21"/>
        </w:rPr>
      </w:pPr>
      <w:r>
        <w:rPr>
          <w:rFonts w:hint="eastAsia" w:ascii="宋体" w:hAnsi="宋体" w:cs="微软雅黑"/>
          <w:szCs w:val="21"/>
        </w:rPr>
        <w:t>汽车检测与维修技术专业实训实习课程教学内容及要求如表五所示。</w:t>
      </w:r>
    </w:p>
    <w:p>
      <w:pPr>
        <w:spacing w:line="360" w:lineRule="auto"/>
        <w:jc w:val="center"/>
        <w:rPr>
          <w:rFonts w:ascii="宋体" w:hAnsi="宋体" w:cs="微软雅黑"/>
          <w:szCs w:val="21"/>
        </w:rPr>
      </w:pPr>
      <w:r>
        <w:rPr>
          <w:rFonts w:hint="eastAsia" w:ascii="宋体" w:hAnsi="宋体" w:cs="微软雅黑"/>
          <w:szCs w:val="21"/>
        </w:rPr>
        <w:t>表五</w:t>
      </w:r>
      <w:r>
        <w:rPr>
          <w:rFonts w:ascii="宋体" w:hAnsi="宋体" w:cs="微软雅黑"/>
          <w:szCs w:val="21"/>
        </w:rPr>
        <w:t xml:space="preserve"> </w:t>
      </w:r>
      <w:r>
        <w:rPr>
          <w:rFonts w:hint="eastAsia" w:ascii="宋体" w:hAnsi="宋体" w:cs="微软雅黑"/>
          <w:szCs w:val="21"/>
        </w:rPr>
        <w:t>汽车检测与维修技术专业实训实习课程教学内容及要求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403"/>
        <w:gridCol w:w="6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42" w:type="dxa"/>
          </w:tcPr>
          <w:p>
            <w:pPr>
              <w:jc w:val="center"/>
              <w:rPr>
                <w:rFonts w:ascii="宋体" w:hAnsi="宋体" w:cs="宋体"/>
                <w:szCs w:val="21"/>
              </w:rPr>
            </w:pPr>
            <w:r>
              <w:rPr>
                <w:rFonts w:hint="eastAsia" w:ascii="宋体" w:hAnsi="宋体" w:cs="宋体"/>
                <w:szCs w:val="21"/>
              </w:rPr>
              <w:t>序号</w:t>
            </w:r>
          </w:p>
        </w:tc>
        <w:tc>
          <w:tcPr>
            <w:tcW w:w="1403" w:type="dxa"/>
          </w:tcPr>
          <w:p>
            <w:pPr>
              <w:jc w:val="center"/>
              <w:rPr>
                <w:rFonts w:ascii="宋体" w:hAnsi="宋体" w:cs="宋体"/>
                <w:szCs w:val="21"/>
              </w:rPr>
            </w:pPr>
            <w:r>
              <w:rPr>
                <w:rFonts w:hint="eastAsia" w:ascii="宋体" w:hAnsi="宋体" w:cs="宋体"/>
                <w:szCs w:val="21"/>
              </w:rPr>
              <w:t>课程名称</w:t>
            </w:r>
          </w:p>
        </w:tc>
        <w:tc>
          <w:tcPr>
            <w:tcW w:w="6568" w:type="dxa"/>
          </w:tcPr>
          <w:p>
            <w:pPr>
              <w:jc w:val="center"/>
              <w:rPr>
                <w:rFonts w:ascii="宋体" w:hAnsi="宋体" w:cs="宋体"/>
                <w:szCs w:val="21"/>
              </w:rPr>
            </w:pPr>
            <w:r>
              <w:rPr>
                <w:rFonts w:hint="eastAsia" w:ascii="宋体" w:hAnsi="宋体" w:cs="宋体"/>
                <w:szCs w:val="21"/>
              </w:rPr>
              <w:t>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pPr>
              <w:adjustRightInd w:val="0"/>
              <w:snapToGrid w:val="0"/>
              <w:jc w:val="center"/>
              <w:rPr>
                <w:rFonts w:ascii="宋体" w:hAnsi="宋体" w:cs="宋体"/>
              </w:rPr>
            </w:pPr>
            <w:r>
              <w:rPr>
                <w:rFonts w:hint="eastAsia" w:ascii="宋体" w:hAnsi="宋体" w:cs="宋体"/>
              </w:rPr>
              <w:t>1</w:t>
            </w:r>
          </w:p>
        </w:tc>
        <w:tc>
          <w:tcPr>
            <w:tcW w:w="1403" w:type="dxa"/>
            <w:vAlign w:val="center"/>
          </w:tcPr>
          <w:p>
            <w:pPr>
              <w:widowControl/>
              <w:jc w:val="center"/>
              <w:rPr>
                <w:rFonts w:ascii="宋体" w:hAnsi="宋体"/>
                <w:kern w:val="0"/>
                <w:szCs w:val="21"/>
              </w:rPr>
            </w:pPr>
            <w:r>
              <w:rPr>
                <w:rFonts w:hint="eastAsia"/>
                <w:szCs w:val="21"/>
              </w:rPr>
              <w:t>1+X证书（汽车运用与维修职业技能等级证书证书）考证培训</w:t>
            </w:r>
          </w:p>
        </w:tc>
        <w:tc>
          <w:tcPr>
            <w:tcW w:w="6568" w:type="dxa"/>
            <w:vAlign w:val="center"/>
          </w:tcPr>
          <w:p>
            <w:pPr>
              <w:adjustRightInd w:val="0"/>
              <w:snapToGrid w:val="0"/>
              <w:ind w:firstLine="420" w:firstLineChars="200"/>
              <w:rPr>
                <w:rFonts w:ascii="宋体" w:hAnsi="宋体" w:cs="宋体"/>
              </w:rPr>
            </w:pPr>
            <w:r>
              <w:rPr>
                <w:rFonts w:hint="eastAsia" w:ascii="宋体" w:hAnsi="宋体" w:cs="宋体"/>
                <w:szCs w:val="21"/>
              </w:rPr>
              <w:t>按照全国“1+X”汽车运用与维修职业技能等级证书（中级）考证项目要求选定1-3汽车电子电气与空调舒适系统技术（中级）证书项目为培训项目，实训内容为汽车电子电气与空调舒适系统技术模块，共分为4个项目，采用讲、学、训、考结合的方式对学生进行了培训，提高学生动手实践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2" w:type="dxa"/>
            <w:vAlign w:val="center"/>
          </w:tcPr>
          <w:p>
            <w:pPr>
              <w:adjustRightInd w:val="0"/>
              <w:snapToGrid w:val="0"/>
              <w:jc w:val="center"/>
              <w:rPr>
                <w:rFonts w:ascii="宋体" w:hAnsi="宋体" w:cs="宋体"/>
              </w:rPr>
            </w:pPr>
            <w:r>
              <w:rPr>
                <w:rFonts w:hint="eastAsia" w:ascii="宋体" w:hAnsi="宋体" w:cs="宋体"/>
              </w:rPr>
              <w:t>2</w:t>
            </w:r>
          </w:p>
        </w:tc>
        <w:tc>
          <w:tcPr>
            <w:tcW w:w="1403" w:type="dxa"/>
            <w:vAlign w:val="center"/>
          </w:tcPr>
          <w:p>
            <w:pPr>
              <w:adjustRightInd w:val="0"/>
              <w:snapToGrid w:val="0"/>
              <w:jc w:val="center"/>
              <w:rPr>
                <w:rFonts w:ascii="宋体" w:hAnsi="宋体" w:cs="宋体"/>
              </w:rPr>
            </w:pPr>
            <w:r>
              <w:rPr>
                <w:rFonts w:hint="eastAsia" w:ascii="宋体" w:hAnsi="宋体" w:cs="宋体"/>
              </w:rPr>
              <w:t>汽车美容装饰、整车维护与保养综合实训</w:t>
            </w:r>
          </w:p>
        </w:tc>
        <w:tc>
          <w:tcPr>
            <w:tcW w:w="6568" w:type="dxa"/>
            <w:vAlign w:val="center"/>
          </w:tcPr>
          <w:p>
            <w:pPr>
              <w:widowControl/>
              <w:ind w:firstLine="420" w:firstLineChars="200"/>
              <w:jc w:val="left"/>
              <w:rPr>
                <w:rFonts w:ascii="宋体" w:hAnsi="宋体" w:cs="宋体"/>
                <w:szCs w:val="21"/>
              </w:rPr>
            </w:pPr>
            <w:r>
              <w:rPr>
                <w:rFonts w:hint="eastAsia" w:ascii="宋体" w:hAnsi="宋体" w:cs="宋体"/>
                <w:szCs w:val="21"/>
              </w:rPr>
              <w:t>本课程采用</w:t>
            </w:r>
            <w:r>
              <w:rPr>
                <w:rFonts w:hint="eastAsia" w:ascii="宋体" w:hAnsi="宋体" w:cs="宋体"/>
              </w:rPr>
              <w:t>“教学做一体化”</w:t>
            </w:r>
            <w:r>
              <w:rPr>
                <w:rFonts w:hint="eastAsia" w:ascii="宋体" w:hAnsi="宋体" w:cs="宋体"/>
                <w:szCs w:val="21"/>
              </w:rPr>
              <w:t>方式组织教学。主要培养学生汽车外部美化、清洁、改装设计与操作能力；汽车内部美化设计与操作能力；汽车防盗改装设计与操作能力；汽车整车定期与非定期保养与维护的操作能力。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jc w:val="center"/>
        </w:trPr>
        <w:tc>
          <w:tcPr>
            <w:tcW w:w="742" w:type="dxa"/>
            <w:vAlign w:val="center"/>
          </w:tcPr>
          <w:p>
            <w:pPr>
              <w:adjustRightInd w:val="0"/>
              <w:snapToGrid w:val="0"/>
              <w:jc w:val="center"/>
              <w:rPr>
                <w:rFonts w:ascii="宋体" w:hAnsi="宋体" w:cs="宋体"/>
              </w:rPr>
            </w:pPr>
            <w:r>
              <w:rPr>
                <w:rFonts w:hint="eastAsia" w:ascii="宋体" w:hAnsi="宋体" w:cs="宋体"/>
              </w:rPr>
              <w:t>3</w:t>
            </w:r>
          </w:p>
        </w:tc>
        <w:tc>
          <w:tcPr>
            <w:tcW w:w="1403" w:type="dxa"/>
            <w:vAlign w:val="center"/>
          </w:tcPr>
          <w:p>
            <w:pPr>
              <w:adjustRightInd w:val="0"/>
              <w:snapToGrid w:val="0"/>
              <w:jc w:val="center"/>
              <w:rPr>
                <w:rFonts w:ascii="宋体" w:hAnsi="宋体" w:cs="宋体"/>
              </w:rPr>
            </w:pPr>
            <w:r>
              <w:rPr>
                <w:rFonts w:hint="eastAsia" w:ascii="宋体" w:hAnsi="宋体" w:cs="宋体"/>
              </w:rPr>
              <w:t>毕业设计（论文）</w:t>
            </w:r>
          </w:p>
        </w:tc>
        <w:tc>
          <w:tcPr>
            <w:tcW w:w="6568" w:type="dxa"/>
            <w:vAlign w:val="center"/>
          </w:tcPr>
          <w:p>
            <w:pPr>
              <w:widowControl/>
              <w:ind w:firstLine="420" w:firstLineChars="200"/>
              <w:jc w:val="left"/>
              <w:rPr>
                <w:rFonts w:ascii="宋体" w:hAnsi="宋体" w:cs="宋体"/>
              </w:rPr>
            </w:pPr>
            <w:r>
              <w:rPr>
                <w:rFonts w:hint="eastAsia" w:ascii="宋体" w:hAnsi="宋体" w:cs="宋体"/>
              </w:rPr>
              <w:t>毕业设计（论文）是教学过程的一个重要教学环节，其目的在于训练学生综合运用所学的基本理论、基本知识和基本技能，分析和解决实际工作问题的能力，使学生具有从事生产和科学研究的初步能力。教学要求：根据课题的性质和要求，写出毕业设计计划书，学生应当独立完成全部任务；设计方案应合理，理论分析和计算正确；论文的要求要明确突出，论据要充分，分析及论述要条理清楚；要注意体现技术上的实用性和先进性，经济上的合理性以及计算机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42" w:type="dxa"/>
            <w:vAlign w:val="center"/>
          </w:tcPr>
          <w:p>
            <w:pPr>
              <w:adjustRightInd w:val="0"/>
              <w:snapToGrid w:val="0"/>
              <w:jc w:val="center"/>
              <w:rPr>
                <w:rFonts w:ascii="宋体" w:hAnsi="宋体" w:cs="宋体"/>
              </w:rPr>
            </w:pPr>
            <w:r>
              <w:rPr>
                <w:rFonts w:hint="eastAsia" w:ascii="宋体" w:hAnsi="宋体" w:cs="宋体"/>
              </w:rPr>
              <w:t>4</w:t>
            </w:r>
          </w:p>
        </w:tc>
        <w:tc>
          <w:tcPr>
            <w:tcW w:w="1403" w:type="dxa"/>
            <w:vAlign w:val="center"/>
          </w:tcPr>
          <w:p>
            <w:pPr>
              <w:adjustRightInd w:val="0"/>
              <w:snapToGrid w:val="0"/>
              <w:jc w:val="center"/>
              <w:rPr>
                <w:rFonts w:ascii="宋体" w:hAnsi="宋体" w:cs="宋体"/>
              </w:rPr>
            </w:pPr>
            <w:r>
              <w:rPr>
                <w:rFonts w:hint="eastAsia" w:ascii="宋体" w:hAnsi="宋体" w:cs="宋体"/>
              </w:rPr>
              <w:t>顶岗实习</w:t>
            </w:r>
          </w:p>
        </w:tc>
        <w:tc>
          <w:tcPr>
            <w:tcW w:w="6568" w:type="dxa"/>
            <w:vAlign w:val="center"/>
          </w:tcPr>
          <w:p>
            <w:pPr>
              <w:widowControl/>
              <w:ind w:firstLine="420" w:firstLineChars="200"/>
              <w:jc w:val="left"/>
              <w:rPr>
                <w:rFonts w:ascii="宋体" w:hAnsi="宋体" w:cs="宋体"/>
              </w:rPr>
            </w:pPr>
            <w:r>
              <w:rPr>
                <w:rFonts w:hint="eastAsia" w:ascii="宋体" w:hAnsi="宋体" w:cs="宋体"/>
              </w:rPr>
              <w:t>学生通过从事汽车检测、汽车维修、汽车销售、汽车配件管理、汽车美容与装饰、汽车保险与理赔等相关行业的顶岗工作，掌握有关汽车检测、维修、制造、美容、保险与理赔的具体工作任务，在实践教师的指导下，完成预定的学习任务，同时培养学生综合素质、动手能力，缩短学生走上工作岗位的适应期，提高就业竞争能力，是产学合作教育的重要教学环节。通过学生在企业的顶岗实习，将所学的专业知识进行实践性融合，使学生对专业相关的技能更加熟练，为学生今后的就业做好铺垫。</w:t>
            </w:r>
          </w:p>
        </w:tc>
      </w:tr>
    </w:tbl>
    <w:p>
      <w:pPr>
        <w:spacing w:line="360" w:lineRule="auto"/>
        <w:jc w:val="center"/>
        <w:rPr>
          <w:rFonts w:ascii="宋体" w:hAnsi="宋体" w:cs="微软雅黑"/>
          <w:szCs w:val="21"/>
        </w:rPr>
      </w:pPr>
    </w:p>
    <w:p>
      <w:pPr>
        <w:spacing w:line="360" w:lineRule="auto"/>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七、教学进程总体安排</w:t>
      </w:r>
    </w:p>
    <w:p>
      <w:pPr>
        <w:spacing w:line="360" w:lineRule="auto"/>
        <w:ind w:firstLine="480" w:firstLineChars="200"/>
        <w:outlineLvl w:val="1"/>
        <w:rPr>
          <w:rFonts w:ascii="Times New Roman" w:hAnsi="Times New Roman" w:eastAsia="黑体"/>
          <w:sz w:val="28"/>
          <w:szCs w:val="28"/>
        </w:rPr>
      </w:pPr>
      <w:r>
        <w:rPr>
          <w:rFonts w:ascii="黑体" w:hAnsi="黑体" w:eastAsia="黑体"/>
          <w:sz w:val="24"/>
        </w:rPr>
        <w:t>（</w:t>
      </w:r>
      <w:r>
        <w:rPr>
          <w:rFonts w:hint="eastAsia" w:ascii="黑体" w:hAnsi="黑体" w:eastAsia="黑体"/>
          <w:sz w:val="24"/>
        </w:rPr>
        <w:t>一</w:t>
      </w:r>
      <w:r>
        <w:rPr>
          <w:rFonts w:ascii="黑体" w:hAnsi="黑体" w:eastAsia="黑体"/>
          <w:sz w:val="24"/>
        </w:rPr>
        <w:t>）</w:t>
      </w:r>
      <w:r>
        <w:rPr>
          <w:rFonts w:hint="eastAsia" w:ascii="黑体" w:hAnsi="黑体" w:eastAsia="黑体"/>
          <w:sz w:val="24"/>
        </w:rPr>
        <w:t>教学进程安排表</w:t>
      </w:r>
    </w:p>
    <w:p>
      <w:pPr>
        <w:spacing w:line="360" w:lineRule="auto"/>
        <w:ind w:firstLine="420" w:firstLineChars="200"/>
        <w:rPr>
          <w:rFonts w:ascii="宋体" w:hAnsi="宋体" w:cs="微软雅黑"/>
          <w:szCs w:val="21"/>
        </w:rPr>
      </w:pPr>
      <w:r>
        <w:rPr>
          <w:rFonts w:hint="eastAsia" w:ascii="宋体" w:hAnsi="宋体" w:cs="微软雅黑"/>
          <w:szCs w:val="21"/>
        </w:rPr>
        <w:t>教学进程安排表如表六所示。</w:t>
      </w:r>
    </w:p>
    <w:p>
      <w:pPr>
        <w:spacing w:line="360" w:lineRule="auto"/>
        <w:ind w:firstLine="420" w:firstLineChars="200"/>
        <w:jc w:val="center"/>
        <w:rPr>
          <w:rFonts w:ascii="宋体" w:hAnsi="宋体"/>
          <w:kern w:val="0"/>
          <w:szCs w:val="21"/>
        </w:rPr>
      </w:pPr>
      <w:r>
        <w:rPr>
          <w:rFonts w:ascii="宋体" w:hAnsi="宋体"/>
          <w:kern w:val="0"/>
          <w:szCs w:val="21"/>
        </w:rPr>
        <w:t>表</w:t>
      </w:r>
      <w:r>
        <w:rPr>
          <w:rFonts w:hint="eastAsia" w:ascii="宋体" w:hAnsi="宋体"/>
          <w:kern w:val="0"/>
          <w:szCs w:val="21"/>
        </w:rPr>
        <w:t>六</w:t>
      </w:r>
      <w:r>
        <w:rPr>
          <w:rFonts w:ascii="宋体" w:hAnsi="宋体"/>
          <w:kern w:val="0"/>
          <w:szCs w:val="21"/>
        </w:rPr>
        <w:t xml:space="preserve"> 教学</w:t>
      </w:r>
      <w:r>
        <w:rPr>
          <w:rFonts w:hint="eastAsia" w:ascii="宋体" w:hAnsi="宋体"/>
          <w:kern w:val="0"/>
          <w:szCs w:val="21"/>
        </w:rPr>
        <w:t>进程安排</w:t>
      </w:r>
      <w:r>
        <w:rPr>
          <w:rFonts w:ascii="宋体" w:hAnsi="宋体"/>
          <w:kern w:val="0"/>
          <w:szCs w:val="21"/>
        </w:rPr>
        <w:t>表</w:t>
      </w:r>
    </w:p>
    <w:tbl>
      <w:tblPr>
        <w:tblStyle w:val="5"/>
        <w:tblW w:w="9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542"/>
        <w:gridCol w:w="478"/>
        <w:gridCol w:w="1110"/>
        <w:gridCol w:w="1053"/>
        <w:gridCol w:w="708"/>
        <w:gridCol w:w="708"/>
        <w:gridCol w:w="844"/>
        <w:gridCol w:w="917"/>
        <w:gridCol w:w="708"/>
        <w:gridCol w:w="70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1507" w:type="dxa"/>
          </w:tcPr>
          <w:p>
            <w:pPr>
              <w:pStyle w:val="12"/>
              <w:rPr>
                <w:rFonts w:ascii="宋体" w:hAnsi="宋体" w:cs="宋体"/>
                <w:kern w:val="0"/>
                <w:szCs w:val="21"/>
              </w:rPr>
            </w:pPr>
            <w:r>
              <mc:AlternateContent>
                <mc:Choice Requires="wps">
                  <w:drawing>
                    <wp:anchor distT="0" distB="0" distL="114300" distR="114300" simplePos="0" relativeHeight="251660288" behindDoc="0" locked="0" layoutInCell="1" allowOverlap="1">
                      <wp:simplePos x="0" y="0"/>
                      <wp:positionH relativeFrom="column">
                        <wp:posOffset>-62230</wp:posOffset>
                      </wp:positionH>
                      <wp:positionV relativeFrom="paragraph">
                        <wp:posOffset>0</wp:posOffset>
                      </wp:positionV>
                      <wp:extent cx="955675" cy="347980"/>
                      <wp:effectExtent l="0" t="0" r="15875" b="13970"/>
                      <wp:wrapNone/>
                      <wp:docPr id="6" name="直接连接符 6"/>
                      <wp:cNvGraphicFramePr/>
                      <a:graphic xmlns:a="http://schemas.openxmlformats.org/drawingml/2006/main">
                        <a:graphicData uri="http://schemas.microsoft.com/office/word/2010/wordprocessingShape">
                          <wps:wsp>
                            <wps:cNvCnPr/>
                            <wps:spPr>
                              <a:xfrm>
                                <a:off x="0" y="0"/>
                                <a:ext cx="955675" cy="34798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9pt;margin-top:0pt;height:27.4pt;width:75.25pt;z-index:251660288;mso-width-relative:page;mso-height-relative:page;" filled="f" stroked="t" coordsize="21600,21600" o:gfxdata="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Pr+/L1AAAAAYBAAAPAAAAAAAAAAEAIAAAACIAAABkcnMvZG93bnJldi54bWxQSwEC&#10;FAAUAAAACACHTuJAC4QbRvgBAADqAwAADgAAAAAAAAABACAAAAAjAQAAZHJzL2Uyb0RvYy54bWxQ&#10;SwUGAAAAAAYABgBZAQAAjQU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-55880</wp:posOffset>
                      </wp:positionH>
                      <wp:positionV relativeFrom="paragraph">
                        <wp:posOffset>0</wp:posOffset>
                      </wp:positionV>
                      <wp:extent cx="593090" cy="979170"/>
                      <wp:effectExtent l="0" t="0" r="16510" b="11430"/>
                      <wp:wrapNone/>
                      <wp:docPr id="7" name="直接箭头连接符 7"/>
                      <wp:cNvGraphicFramePr/>
                      <a:graphic xmlns:a="http://schemas.openxmlformats.org/drawingml/2006/main">
                        <a:graphicData uri="http://schemas.microsoft.com/office/word/2010/wordprocessingShape">
                          <wps:wsp>
                            <wps:cNvCnPr/>
                            <wps:spPr>
                              <a:xfrm>
                                <a:off x="0" y="0"/>
                                <a:ext cx="593090" cy="979170"/>
                              </a:xfrm>
                              <a:prstGeom prst="straightConnector1">
                                <a:avLst/>
                              </a:prstGeom>
                              <a:ln w="6350"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4.4pt;margin-top:0pt;height:77.1pt;width:46.7pt;z-index:251661312;mso-width-relative:page;mso-height-relative:page;" filled="f" stroked="t" coordsize="21600,21600" o:gfxdata="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R9wZNUAAAAGAQAADwAAAAAAAAABACAAAAAiAAAAZHJz&#10;L2Rvd25yZXYueG1sUEsBAhQAFAAAAAgAh07iQNbQuiAHAgAA+gMAAA4AAAAAAAAAAQAgAAAAJAEA&#10;AGRycy9lMm9Eb2MueG1sUEsFBgAAAAAGAAYAWQEAAJ0FAAAAAA==&#10;">
                      <v:fill on="f" focussize="0,0"/>
                      <v:stroke weight="0.5pt" color="#000000" joinstyle="round"/>
                      <v:imagedata o:title=""/>
                      <o:lock v:ext="edit" aspectratio="f"/>
                    </v:shape>
                  </w:pict>
                </mc:Fallback>
              </mc:AlternateContent>
            </w:r>
            <w:r>
              <w:rPr>
                <w:rFonts w:hint="eastAsia" w:ascii="宋体" w:hAnsi="宋体" w:cs="宋体"/>
                <w:kern w:val="0"/>
                <w:szCs w:val="21"/>
              </w:rPr>
              <w:t xml:space="preserve">        内容</w:t>
            </w:r>
          </w:p>
          <w:p>
            <w:pPr>
              <w:pStyle w:val="12"/>
              <w:rPr>
                <w:rFonts w:ascii="宋体" w:hAnsi="宋体" w:cs="宋体"/>
                <w:kern w:val="0"/>
                <w:szCs w:val="21"/>
              </w:rPr>
            </w:pPr>
          </w:p>
          <w:p>
            <w:pPr>
              <w:pStyle w:val="12"/>
              <w:rPr>
                <w:rFonts w:ascii="宋体" w:hAnsi="宋体" w:cs="宋体"/>
                <w:kern w:val="0"/>
                <w:szCs w:val="21"/>
              </w:rPr>
            </w:pPr>
            <w:r>
              <w:rPr>
                <w:rFonts w:hint="eastAsia" w:ascii="宋体" w:hAnsi="宋体" w:cs="宋体"/>
                <w:kern w:val="0"/>
                <w:szCs w:val="21"/>
              </w:rPr>
              <w:t xml:space="preserve">       周数</w:t>
            </w:r>
          </w:p>
          <w:p>
            <w:pPr>
              <w:pStyle w:val="12"/>
              <w:rPr>
                <w:rFonts w:ascii="宋体" w:hAnsi="宋体" w:cs="宋体"/>
                <w:kern w:val="0"/>
                <w:szCs w:val="21"/>
              </w:rPr>
            </w:pPr>
            <w:r>
              <w:rPr>
                <w:rFonts w:hint="eastAsia" w:ascii="宋体" w:hAnsi="宋体" w:cs="宋体"/>
                <w:kern w:val="0"/>
                <w:szCs w:val="21"/>
              </w:rPr>
              <w:t>学期</w:t>
            </w:r>
          </w:p>
        </w:tc>
        <w:tc>
          <w:tcPr>
            <w:tcW w:w="542" w:type="dxa"/>
            <w:noWrap/>
            <w:vAlign w:val="center"/>
          </w:tcPr>
          <w:p>
            <w:pPr>
              <w:widowControl/>
              <w:spacing w:before="240"/>
              <w:jc w:val="center"/>
              <w:rPr>
                <w:rFonts w:ascii="宋体" w:hAnsi="宋体" w:cs="宋体"/>
                <w:kern w:val="0"/>
                <w:szCs w:val="21"/>
              </w:rPr>
            </w:pPr>
            <w:r>
              <w:rPr>
                <w:rFonts w:hint="eastAsia" w:ascii="宋体" w:hAnsi="宋体" w:cs="宋体"/>
                <w:kern w:val="0"/>
                <w:szCs w:val="21"/>
              </w:rPr>
              <w:t>教学</w:t>
            </w:r>
          </w:p>
        </w:tc>
        <w:tc>
          <w:tcPr>
            <w:tcW w:w="478" w:type="dxa"/>
            <w:noWrap/>
            <w:vAlign w:val="center"/>
          </w:tcPr>
          <w:p>
            <w:pPr>
              <w:widowControl/>
              <w:spacing w:before="240"/>
              <w:jc w:val="center"/>
              <w:rPr>
                <w:rFonts w:ascii="宋体" w:hAnsi="宋体" w:cs="宋体"/>
                <w:kern w:val="0"/>
                <w:szCs w:val="21"/>
              </w:rPr>
            </w:pPr>
            <w:r>
              <w:rPr>
                <w:rFonts w:hint="eastAsia" w:ascii="宋体" w:hAnsi="宋体" w:cs="宋体"/>
                <w:kern w:val="0"/>
                <w:szCs w:val="21"/>
              </w:rPr>
              <w:t>考核</w:t>
            </w:r>
          </w:p>
        </w:tc>
        <w:tc>
          <w:tcPr>
            <w:tcW w:w="1110" w:type="dxa"/>
            <w:vAlign w:val="center"/>
          </w:tcPr>
          <w:p>
            <w:pPr>
              <w:widowControl/>
              <w:spacing w:before="240"/>
              <w:jc w:val="center"/>
              <w:rPr>
                <w:rFonts w:ascii="宋体" w:hAnsi="宋体" w:cs="宋体"/>
                <w:kern w:val="0"/>
                <w:szCs w:val="21"/>
              </w:rPr>
            </w:pPr>
            <w:r>
              <w:rPr>
                <w:rFonts w:hint="eastAsia" w:ascii="宋体" w:hAnsi="宋体" w:cs="宋体"/>
                <w:kern w:val="0"/>
                <w:szCs w:val="21"/>
              </w:rPr>
              <w:t>入学教育军训</w:t>
            </w:r>
          </w:p>
        </w:tc>
        <w:tc>
          <w:tcPr>
            <w:tcW w:w="1053" w:type="dxa"/>
            <w:noWrap/>
            <w:vAlign w:val="center"/>
          </w:tcPr>
          <w:p>
            <w:pPr>
              <w:widowControl/>
              <w:spacing w:before="240"/>
              <w:jc w:val="center"/>
              <w:rPr>
                <w:rFonts w:ascii="宋体" w:hAnsi="宋体" w:cs="宋体"/>
                <w:kern w:val="0"/>
                <w:szCs w:val="21"/>
              </w:rPr>
            </w:pPr>
            <w:r>
              <w:rPr>
                <w:rFonts w:hint="eastAsia" w:ascii="宋体" w:hAnsi="宋体" w:cs="宋体"/>
                <w:kern w:val="0"/>
                <w:szCs w:val="21"/>
              </w:rPr>
              <w:t>顶岗实习</w:t>
            </w:r>
          </w:p>
        </w:tc>
        <w:tc>
          <w:tcPr>
            <w:tcW w:w="708" w:type="dxa"/>
            <w:noWrap/>
            <w:vAlign w:val="center"/>
          </w:tcPr>
          <w:p>
            <w:pPr>
              <w:widowControl/>
              <w:spacing w:before="240"/>
              <w:jc w:val="center"/>
              <w:rPr>
                <w:rFonts w:ascii="宋体" w:hAnsi="宋体" w:cs="宋体"/>
                <w:kern w:val="0"/>
                <w:szCs w:val="21"/>
              </w:rPr>
            </w:pPr>
            <w:r>
              <w:rPr>
                <w:rFonts w:hint="eastAsia" w:ascii="宋体" w:hAnsi="宋体" w:cs="宋体"/>
                <w:kern w:val="0"/>
                <w:szCs w:val="21"/>
              </w:rPr>
              <w:t>1+X证书考证培训</w:t>
            </w:r>
          </w:p>
        </w:tc>
        <w:tc>
          <w:tcPr>
            <w:tcW w:w="708" w:type="dxa"/>
            <w:noWrap/>
            <w:vAlign w:val="center"/>
          </w:tcPr>
          <w:p>
            <w:pPr>
              <w:widowControl/>
              <w:spacing w:before="240"/>
              <w:jc w:val="center"/>
              <w:rPr>
                <w:rFonts w:ascii="宋体" w:hAnsi="宋体" w:cs="宋体"/>
                <w:kern w:val="0"/>
                <w:szCs w:val="21"/>
              </w:rPr>
            </w:pPr>
            <w:r>
              <w:rPr>
                <w:rFonts w:hint="eastAsia" w:ascii="宋体" w:hAnsi="宋体" w:cs="宋体"/>
                <w:kern w:val="0"/>
                <w:szCs w:val="21"/>
              </w:rPr>
              <w:t>综合实训</w:t>
            </w:r>
          </w:p>
        </w:tc>
        <w:tc>
          <w:tcPr>
            <w:tcW w:w="844" w:type="dxa"/>
            <w:noWrap/>
            <w:vAlign w:val="center"/>
          </w:tcPr>
          <w:p>
            <w:pPr>
              <w:widowControl/>
              <w:spacing w:before="240"/>
              <w:jc w:val="center"/>
              <w:rPr>
                <w:rFonts w:ascii="宋体" w:hAnsi="宋体" w:cs="宋体"/>
                <w:kern w:val="0"/>
                <w:szCs w:val="21"/>
              </w:rPr>
            </w:pPr>
            <w:r>
              <w:rPr>
                <w:rFonts w:hint="eastAsia" w:ascii="宋体" w:hAnsi="宋体" w:cs="宋体"/>
                <w:kern w:val="0"/>
                <w:szCs w:val="21"/>
              </w:rPr>
              <w:t>毕业教育</w:t>
            </w:r>
          </w:p>
        </w:tc>
        <w:tc>
          <w:tcPr>
            <w:tcW w:w="917" w:type="dxa"/>
            <w:noWrap/>
            <w:vAlign w:val="center"/>
          </w:tcPr>
          <w:p>
            <w:pPr>
              <w:widowControl/>
              <w:spacing w:before="240"/>
              <w:jc w:val="center"/>
              <w:rPr>
                <w:rFonts w:ascii="宋体" w:hAnsi="宋体" w:cs="宋体"/>
                <w:kern w:val="0"/>
                <w:szCs w:val="21"/>
              </w:rPr>
            </w:pPr>
            <w:r>
              <w:rPr>
                <w:rFonts w:hint="eastAsia" w:ascii="宋体" w:hAnsi="宋体" w:cs="宋体"/>
                <w:kern w:val="0"/>
                <w:szCs w:val="21"/>
              </w:rPr>
              <w:t>毕业设计（论文）</w:t>
            </w:r>
          </w:p>
        </w:tc>
        <w:tc>
          <w:tcPr>
            <w:tcW w:w="708" w:type="dxa"/>
            <w:noWrap/>
            <w:vAlign w:val="center"/>
          </w:tcPr>
          <w:p>
            <w:pPr>
              <w:widowControl/>
              <w:spacing w:before="240"/>
              <w:jc w:val="center"/>
              <w:rPr>
                <w:rFonts w:ascii="宋体" w:hAnsi="宋体" w:cs="宋体"/>
                <w:kern w:val="0"/>
                <w:szCs w:val="21"/>
              </w:rPr>
            </w:pPr>
            <w:r>
              <w:rPr>
                <w:rFonts w:hint="eastAsia" w:ascii="宋体" w:hAnsi="宋体" w:cs="宋体"/>
                <w:kern w:val="0"/>
                <w:szCs w:val="21"/>
              </w:rPr>
              <w:t>机动</w:t>
            </w:r>
          </w:p>
        </w:tc>
        <w:tc>
          <w:tcPr>
            <w:tcW w:w="708" w:type="dxa"/>
            <w:noWrap/>
            <w:vAlign w:val="center"/>
          </w:tcPr>
          <w:p>
            <w:pPr>
              <w:widowControl/>
              <w:spacing w:before="240"/>
              <w:jc w:val="center"/>
              <w:rPr>
                <w:rFonts w:ascii="宋体" w:hAnsi="宋体" w:cs="宋体"/>
                <w:kern w:val="0"/>
                <w:szCs w:val="21"/>
              </w:rPr>
            </w:pPr>
            <w:r>
              <w:rPr>
                <w:rFonts w:hint="eastAsia" w:ascii="宋体" w:hAnsi="宋体" w:cs="宋体"/>
                <w:kern w:val="0"/>
                <w:szCs w:val="21"/>
              </w:rPr>
              <w:t>寒暑假</w:t>
            </w:r>
          </w:p>
        </w:tc>
        <w:tc>
          <w:tcPr>
            <w:tcW w:w="708" w:type="dxa"/>
            <w:noWrap/>
            <w:vAlign w:val="center"/>
          </w:tcPr>
          <w:p>
            <w:pPr>
              <w:widowControl/>
              <w:spacing w:before="240"/>
              <w:jc w:val="center"/>
              <w:rPr>
                <w:rFonts w:ascii="宋体" w:hAnsi="宋体" w:cs="宋体"/>
                <w:kern w:val="0"/>
                <w:szCs w:val="21"/>
              </w:rPr>
            </w:pPr>
            <w:r>
              <w:rPr>
                <w:rFonts w:hint="eastAsia" w:ascii="宋体" w:hAnsi="宋体" w:cs="宋体"/>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7" w:type="dxa"/>
            <w:noWrap/>
            <w:vAlign w:val="center"/>
          </w:tcPr>
          <w:p>
            <w:pPr>
              <w:jc w:val="center"/>
              <w:rPr>
                <w:rFonts w:ascii="宋体" w:hAnsi="宋体" w:cs="宋体"/>
                <w:szCs w:val="21"/>
              </w:rPr>
            </w:pPr>
            <w:r>
              <w:rPr>
                <w:rFonts w:hint="eastAsia" w:ascii="宋体" w:hAnsi="宋体" w:cs="宋体"/>
                <w:szCs w:val="21"/>
              </w:rPr>
              <w:t>1</w:t>
            </w:r>
          </w:p>
        </w:tc>
        <w:tc>
          <w:tcPr>
            <w:tcW w:w="542" w:type="dxa"/>
            <w:noWrap/>
            <w:vAlign w:val="center"/>
          </w:tcPr>
          <w:p>
            <w:pPr>
              <w:jc w:val="center"/>
              <w:rPr>
                <w:rFonts w:ascii="宋体" w:hAnsi="宋体" w:cs="宋体"/>
                <w:szCs w:val="21"/>
              </w:rPr>
            </w:pPr>
            <w:r>
              <w:rPr>
                <w:rFonts w:hint="eastAsia" w:ascii="宋体" w:hAnsi="宋体" w:cs="宋体"/>
                <w:szCs w:val="21"/>
              </w:rPr>
              <w:t>16</w:t>
            </w:r>
          </w:p>
        </w:tc>
        <w:tc>
          <w:tcPr>
            <w:tcW w:w="478" w:type="dxa"/>
            <w:noWrap/>
            <w:vAlign w:val="center"/>
          </w:tcPr>
          <w:p>
            <w:pPr>
              <w:jc w:val="center"/>
              <w:rPr>
                <w:rFonts w:ascii="宋体" w:hAnsi="宋体" w:cs="宋体"/>
                <w:szCs w:val="21"/>
              </w:rPr>
            </w:pPr>
            <w:r>
              <w:rPr>
                <w:rFonts w:hint="eastAsia" w:ascii="宋体" w:hAnsi="宋体" w:cs="宋体"/>
                <w:szCs w:val="21"/>
              </w:rPr>
              <w:t>1</w:t>
            </w:r>
          </w:p>
        </w:tc>
        <w:tc>
          <w:tcPr>
            <w:tcW w:w="1110" w:type="dxa"/>
            <w:noWrap/>
            <w:vAlign w:val="center"/>
          </w:tcPr>
          <w:p>
            <w:pPr>
              <w:jc w:val="center"/>
              <w:rPr>
                <w:rFonts w:ascii="宋体" w:hAnsi="宋体" w:cs="宋体"/>
                <w:szCs w:val="21"/>
              </w:rPr>
            </w:pPr>
            <w:r>
              <w:rPr>
                <w:rFonts w:hint="eastAsia" w:ascii="宋体" w:hAnsi="宋体" w:cs="宋体"/>
                <w:szCs w:val="21"/>
              </w:rPr>
              <w:t>2</w:t>
            </w:r>
          </w:p>
        </w:tc>
        <w:tc>
          <w:tcPr>
            <w:tcW w:w="1053" w:type="dxa"/>
            <w:noWrap/>
            <w:vAlign w:val="center"/>
          </w:tcPr>
          <w:p>
            <w:pPr>
              <w:jc w:val="center"/>
              <w:rPr>
                <w:rFonts w:ascii="宋体" w:hAnsi="宋体" w:cs="宋体"/>
                <w:szCs w:val="21"/>
              </w:rPr>
            </w:pPr>
          </w:p>
        </w:tc>
        <w:tc>
          <w:tcPr>
            <w:tcW w:w="708" w:type="dxa"/>
            <w:noWrap/>
            <w:vAlign w:val="center"/>
          </w:tcPr>
          <w:p>
            <w:pPr>
              <w:jc w:val="center"/>
              <w:rPr>
                <w:rFonts w:ascii="宋体" w:hAnsi="宋体" w:cs="宋体"/>
                <w:szCs w:val="21"/>
              </w:rPr>
            </w:pPr>
          </w:p>
        </w:tc>
        <w:tc>
          <w:tcPr>
            <w:tcW w:w="708" w:type="dxa"/>
            <w:noWrap/>
            <w:vAlign w:val="center"/>
          </w:tcPr>
          <w:p>
            <w:pPr>
              <w:jc w:val="center"/>
              <w:rPr>
                <w:rFonts w:ascii="宋体" w:hAnsi="宋体" w:cs="宋体"/>
                <w:szCs w:val="21"/>
              </w:rPr>
            </w:pPr>
          </w:p>
        </w:tc>
        <w:tc>
          <w:tcPr>
            <w:tcW w:w="844" w:type="dxa"/>
            <w:noWrap/>
            <w:vAlign w:val="center"/>
          </w:tcPr>
          <w:p>
            <w:pPr>
              <w:jc w:val="center"/>
              <w:rPr>
                <w:rFonts w:ascii="宋体" w:hAnsi="宋体" w:cs="宋体"/>
                <w:szCs w:val="21"/>
              </w:rPr>
            </w:pPr>
          </w:p>
        </w:tc>
        <w:tc>
          <w:tcPr>
            <w:tcW w:w="917" w:type="dxa"/>
            <w:noWrap/>
            <w:vAlign w:val="center"/>
          </w:tcPr>
          <w:p>
            <w:pPr>
              <w:jc w:val="center"/>
              <w:rPr>
                <w:rFonts w:ascii="宋体" w:hAnsi="宋体" w:cs="宋体"/>
                <w:szCs w:val="21"/>
              </w:rPr>
            </w:pPr>
          </w:p>
        </w:tc>
        <w:tc>
          <w:tcPr>
            <w:tcW w:w="708" w:type="dxa"/>
            <w:noWrap/>
            <w:vAlign w:val="center"/>
          </w:tcPr>
          <w:p>
            <w:pPr>
              <w:jc w:val="center"/>
              <w:rPr>
                <w:rFonts w:ascii="宋体" w:hAnsi="宋体" w:cs="宋体"/>
                <w:szCs w:val="21"/>
              </w:rPr>
            </w:pPr>
            <w:r>
              <w:rPr>
                <w:rFonts w:hint="eastAsia" w:ascii="宋体" w:hAnsi="宋体" w:cs="宋体"/>
                <w:szCs w:val="21"/>
              </w:rPr>
              <w:t>1</w:t>
            </w:r>
          </w:p>
        </w:tc>
        <w:tc>
          <w:tcPr>
            <w:tcW w:w="708" w:type="dxa"/>
            <w:noWrap/>
            <w:vAlign w:val="center"/>
          </w:tcPr>
          <w:p>
            <w:pPr>
              <w:jc w:val="center"/>
              <w:rPr>
                <w:rFonts w:ascii="宋体" w:hAnsi="宋体" w:cs="宋体"/>
                <w:szCs w:val="21"/>
              </w:rPr>
            </w:pPr>
            <w:r>
              <w:rPr>
                <w:rFonts w:hint="eastAsia" w:ascii="宋体" w:hAnsi="宋体" w:cs="宋体"/>
                <w:szCs w:val="21"/>
              </w:rPr>
              <w:t>4</w:t>
            </w:r>
          </w:p>
        </w:tc>
        <w:tc>
          <w:tcPr>
            <w:tcW w:w="708" w:type="dxa"/>
            <w:noWrap/>
            <w:vAlign w:val="center"/>
          </w:tcPr>
          <w:p>
            <w:pPr>
              <w:jc w:val="center"/>
              <w:rPr>
                <w:rFonts w:ascii="宋体" w:hAnsi="宋体" w:cs="宋体"/>
                <w:szCs w:val="21"/>
              </w:rPr>
            </w:pPr>
            <w:r>
              <w:rPr>
                <w:rFonts w:hint="eastAsia" w:ascii="宋体" w:hAnsi="宋体" w:cs="宋体"/>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7" w:type="dxa"/>
            <w:noWrap/>
            <w:vAlign w:val="center"/>
          </w:tcPr>
          <w:p>
            <w:pPr>
              <w:jc w:val="center"/>
              <w:rPr>
                <w:rFonts w:ascii="宋体" w:hAnsi="宋体" w:cs="宋体"/>
                <w:szCs w:val="21"/>
              </w:rPr>
            </w:pPr>
            <w:r>
              <w:rPr>
                <w:rFonts w:hint="eastAsia" w:ascii="宋体" w:hAnsi="宋体" w:cs="宋体"/>
                <w:szCs w:val="21"/>
              </w:rPr>
              <w:t>2</w:t>
            </w:r>
          </w:p>
        </w:tc>
        <w:tc>
          <w:tcPr>
            <w:tcW w:w="542" w:type="dxa"/>
            <w:noWrap/>
            <w:vAlign w:val="center"/>
          </w:tcPr>
          <w:p>
            <w:pPr>
              <w:jc w:val="center"/>
              <w:rPr>
                <w:rFonts w:ascii="宋体" w:hAnsi="宋体" w:cs="宋体"/>
                <w:szCs w:val="21"/>
              </w:rPr>
            </w:pPr>
            <w:r>
              <w:rPr>
                <w:rFonts w:hint="eastAsia" w:ascii="宋体" w:hAnsi="宋体" w:cs="宋体"/>
                <w:szCs w:val="21"/>
              </w:rPr>
              <w:t>18</w:t>
            </w:r>
          </w:p>
        </w:tc>
        <w:tc>
          <w:tcPr>
            <w:tcW w:w="478" w:type="dxa"/>
            <w:noWrap/>
            <w:vAlign w:val="center"/>
          </w:tcPr>
          <w:p>
            <w:pPr>
              <w:jc w:val="center"/>
              <w:rPr>
                <w:rFonts w:ascii="宋体" w:hAnsi="宋体" w:cs="宋体"/>
                <w:szCs w:val="21"/>
              </w:rPr>
            </w:pPr>
            <w:r>
              <w:rPr>
                <w:rFonts w:hint="eastAsia" w:ascii="宋体" w:hAnsi="宋体" w:cs="宋体"/>
                <w:szCs w:val="21"/>
              </w:rPr>
              <w:t>1</w:t>
            </w:r>
          </w:p>
        </w:tc>
        <w:tc>
          <w:tcPr>
            <w:tcW w:w="1110" w:type="dxa"/>
            <w:noWrap/>
            <w:vAlign w:val="center"/>
          </w:tcPr>
          <w:p>
            <w:pPr>
              <w:jc w:val="center"/>
              <w:rPr>
                <w:rFonts w:ascii="宋体" w:hAnsi="宋体" w:cs="宋体"/>
                <w:szCs w:val="21"/>
              </w:rPr>
            </w:pPr>
          </w:p>
        </w:tc>
        <w:tc>
          <w:tcPr>
            <w:tcW w:w="1053" w:type="dxa"/>
            <w:noWrap/>
            <w:vAlign w:val="center"/>
          </w:tcPr>
          <w:p>
            <w:pPr>
              <w:jc w:val="center"/>
              <w:rPr>
                <w:rFonts w:ascii="宋体" w:hAnsi="宋体" w:cs="宋体"/>
                <w:szCs w:val="21"/>
              </w:rPr>
            </w:pPr>
          </w:p>
        </w:tc>
        <w:tc>
          <w:tcPr>
            <w:tcW w:w="708" w:type="dxa"/>
            <w:noWrap/>
            <w:vAlign w:val="center"/>
          </w:tcPr>
          <w:p>
            <w:pPr>
              <w:jc w:val="center"/>
              <w:rPr>
                <w:rFonts w:ascii="宋体" w:hAnsi="宋体" w:cs="宋体"/>
                <w:szCs w:val="21"/>
              </w:rPr>
            </w:pPr>
          </w:p>
        </w:tc>
        <w:tc>
          <w:tcPr>
            <w:tcW w:w="708" w:type="dxa"/>
            <w:noWrap/>
            <w:vAlign w:val="center"/>
          </w:tcPr>
          <w:p>
            <w:pPr>
              <w:jc w:val="center"/>
              <w:rPr>
                <w:rFonts w:ascii="宋体" w:hAnsi="宋体" w:cs="宋体"/>
                <w:szCs w:val="21"/>
              </w:rPr>
            </w:pPr>
          </w:p>
        </w:tc>
        <w:tc>
          <w:tcPr>
            <w:tcW w:w="844" w:type="dxa"/>
            <w:noWrap/>
            <w:vAlign w:val="center"/>
          </w:tcPr>
          <w:p>
            <w:pPr>
              <w:jc w:val="center"/>
              <w:rPr>
                <w:rFonts w:ascii="宋体" w:hAnsi="宋体" w:cs="宋体"/>
                <w:szCs w:val="21"/>
              </w:rPr>
            </w:pPr>
          </w:p>
        </w:tc>
        <w:tc>
          <w:tcPr>
            <w:tcW w:w="917" w:type="dxa"/>
            <w:noWrap/>
            <w:vAlign w:val="center"/>
          </w:tcPr>
          <w:p>
            <w:pPr>
              <w:jc w:val="center"/>
              <w:rPr>
                <w:rFonts w:ascii="宋体" w:hAnsi="宋体" w:cs="宋体"/>
                <w:szCs w:val="21"/>
              </w:rPr>
            </w:pPr>
          </w:p>
        </w:tc>
        <w:tc>
          <w:tcPr>
            <w:tcW w:w="708" w:type="dxa"/>
            <w:noWrap/>
            <w:vAlign w:val="center"/>
          </w:tcPr>
          <w:p>
            <w:pPr>
              <w:jc w:val="center"/>
              <w:rPr>
                <w:rFonts w:ascii="宋体" w:hAnsi="宋体" w:cs="宋体"/>
                <w:szCs w:val="21"/>
              </w:rPr>
            </w:pPr>
            <w:r>
              <w:rPr>
                <w:rFonts w:hint="eastAsia" w:ascii="宋体" w:hAnsi="宋体" w:cs="宋体"/>
                <w:szCs w:val="21"/>
              </w:rPr>
              <w:t>1</w:t>
            </w:r>
          </w:p>
        </w:tc>
        <w:tc>
          <w:tcPr>
            <w:tcW w:w="708" w:type="dxa"/>
            <w:noWrap/>
            <w:vAlign w:val="center"/>
          </w:tcPr>
          <w:p>
            <w:pPr>
              <w:jc w:val="center"/>
              <w:rPr>
                <w:rFonts w:ascii="宋体" w:hAnsi="宋体" w:cs="宋体"/>
                <w:szCs w:val="21"/>
              </w:rPr>
            </w:pPr>
            <w:r>
              <w:rPr>
                <w:rFonts w:hint="eastAsia" w:ascii="宋体" w:hAnsi="宋体" w:cs="宋体"/>
                <w:szCs w:val="21"/>
              </w:rPr>
              <w:t>8</w:t>
            </w:r>
          </w:p>
        </w:tc>
        <w:tc>
          <w:tcPr>
            <w:tcW w:w="708" w:type="dxa"/>
            <w:noWrap/>
            <w:vAlign w:val="center"/>
          </w:tcPr>
          <w:p>
            <w:pPr>
              <w:jc w:val="center"/>
              <w:rPr>
                <w:rFonts w:ascii="宋体" w:hAnsi="宋体" w:cs="宋体"/>
                <w:szCs w:val="21"/>
              </w:rPr>
            </w:pPr>
            <w:r>
              <w:rPr>
                <w:rFonts w:hint="eastAsia" w:ascii="宋体" w:hAnsi="宋体" w:cs="宋体"/>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7" w:type="dxa"/>
            <w:noWrap/>
            <w:vAlign w:val="center"/>
          </w:tcPr>
          <w:p>
            <w:pPr>
              <w:jc w:val="center"/>
              <w:rPr>
                <w:rFonts w:ascii="宋体" w:hAnsi="宋体" w:cs="宋体"/>
                <w:szCs w:val="21"/>
              </w:rPr>
            </w:pPr>
            <w:r>
              <w:rPr>
                <w:rFonts w:hint="eastAsia" w:ascii="宋体" w:hAnsi="宋体" w:cs="宋体"/>
                <w:szCs w:val="21"/>
              </w:rPr>
              <w:t>3</w:t>
            </w:r>
          </w:p>
        </w:tc>
        <w:tc>
          <w:tcPr>
            <w:tcW w:w="542" w:type="dxa"/>
            <w:noWrap/>
            <w:vAlign w:val="center"/>
          </w:tcPr>
          <w:p>
            <w:pPr>
              <w:jc w:val="center"/>
              <w:rPr>
                <w:rFonts w:ascii="宋体" w:hAnsi="宋体" w:cs="宋体"/>
                <w:szCs w:val="21"/>
              </w:rPr>
            </w:pPr>
            <w:r>
              <w:rPr>
                <w:rFonts w:hint="eastAsia" w:ascii="宋体" w:hAnsi="宋体" w:cs="宋体"/>
                <w:szCs w:val="21"/>
              </w:rPr>
              <w:t>18</w:t>
            </w:r>
          </w:p>
        </w:tc>
        <w:tc>
          <w:tcPr>
            <w:tcW w:w="478" w:type="dxa"/>
            <w:noWrap/>
            <w:vAlign w:val="center"/>
          </w:tcPr>
          <w:p>
            <w:pPr>
              <w:jc w:val="center"/>
              <w:rPr>
                <w:rFonts w:ascii="宋体" w:hAnsi="宋体" w:cs="宋体"/>
                <w:szCs w:val="21"/>
              </w:rPr>
            </w:pPr>
            <w:r>
              <w:rPr>
                <w:rFonts w:hint="eastAsia" w:ascii="宋体" w:hAnsi="宋体" w:cs="宋体"/>
                <w:szCs w:val="21"/>
              </w:rPr>
              <w:t>1</w:t>
            </w:r>
          </w:p>
        </w:tc>
        <w:tc>
          <w:tcPr>
            <w:tcW w:w="1110" w:type="dxa"/>
            <w:noWrap/>
            <w:vAlign w:val="center"/>
          </w:tcPr>
          <w:p>
            <w:pPr>
              <w:jc w:val="center"/>
              <w:rPr>
                <w:rFonts w:ascii="宋体" w:hAnsi="宋体" w:cs="宋体"/>
                <w:szCs w:val="21"/>
              </w:rPr>
            </w:pPr>
          </w:p>
        </w:tc>
        <w:tc>
          <w:tcPr>
            <w:tcW w:w="1053" w:type="dxa"/>
            <w:noWrap/>
            <w:vAlign w:val="center"/>
          </w:tcPr>
          <w:p>
            <w:pPr>
              <w:jc w:val="center"/>
              <w:rPr>
                <w:rFonts w:ascii="宋体" w:hAnsi="宋体" w:cs="宋体"/>
                <w:szCs w:val="21"/>
              </w:rPr>
            </w:pPr>
          </w:p>
        </w:tc>
        <w:tc>
          <w:tcPr>
            <w:tcW w:w="708" w:type="dxa"/>
            <w:noWrap/>
            <w:vAlign w:val="center"/>
          </w:tcPr>
          <w:p>
            <w:pPr>
              <w:jc w:val="center"/>
              <w:rPr>
                <w:rFonts w:ascii="宋体" w:hAnsi="宋体" w:cs="宋体"/>
                <w:szCs w:val="21"/>
              </w:rPr>
            </w:pPr>
          </w:p>
        </w:tc>
        <w:tc>
          <w:tcPr>
            <w:tcW w:w="708" w:type="dxa"/>
            <w:noWrap/>
            <w:vAlign w:val="center"/>
          </w:tcPr>
          <w:p>
            <w:pPr>
              <w:jc w:val="center"/>
              <w:rPr>
                <w:rFonts w:ascii="宋体" w:hAnsi="宋体" w:cs="宋体"/>
                <w:szCs w:val="21"/>
              </w:rPr>
            </w:pPr>
          </w:p>
        </w:tc>
        <w:tc>
          <w:tcPr>
            <w:tcW w:w="844" w:type="dxa"/>
            <w:noWrap/>
            <w:vAlign w:val="center"/>
          </w:tcPr>
          <w:p>
            <w:pPr>
              <w:jc w:val="center"/>
              <w:rPr>
                <w:rFonts w:ascii="宋体" w:hAnsi="宋体" w:cs="宋体"/>
                <w:szCs w:val="21"/>
              </w:rPr>
            </w:pPr>
          </w:p>
        </w:tc>
        <w:tc>
          <w:tcPr>
            <w:tcW w:w="917" w:type="dxa"/>
            <w:noWrap/>
            <w:vAlign w:val="center"/>
          </w:tcPr>
          <w:p>
            <w:pPr>
              <w:jc w:val="center"/>
              <w:rPr>
                <w:rFonts w:ascii="宋体" w:hAnsi="宋体" w:cs="宋体"/>
                <w:szCs w:val="21"/>
              </w:rPr>
            </w:pPr>
          </w:p>
        </w:tc>
        <w:tc>
          <w:tcPr>
            <w:tcW w:w="708" w:type="dxa"/>
            <w:noWrap/>
            <w:vAlign w:val="center"/>
          </w:tcPr>
          <w:p>
            <w:pPr>
              <w:jc w:val="center"/>
              <w:rPr>
                <w:rFonts w:ascii="宋体" w:hAnsi="宋体" w:cs="宋体"/>
                <w:szCs w:val="21"/>
              </w:rPr>
            </w:pPr>
            <w:r>
              <w:rPr>
                <w:rFonts w:hint="eastAsia" w:ascii="宋体" w:hAnsi="宋体" w:cs="宋体"/>
                <w:szCs w:val="21"/>
              </w:rPr>
              <w:t>1</w:t>
            </w:r>
          </w:p>
        </w:tc>
        <w:tc>
          <w:tcPr>
            <w:tcW w:w="708" w:type="dxa"/>
            <w:noWrap/>
            <w:vAlign w:val="center"/>
          </w:tcPr>
          <w:p>
            <w:pPr>
              <w:jc w:val="center"/>
              <w:rPr>
                <w:rFonts w:ascii="宋体" w:hAnsi="宋体" w:cs="宋体"/>
                <w:szCs w:val="21"/>
              </w:rPr>
            </w:pPr>
            <w:r>
              <w:rPr>
                <w:rFonts w:hint="eastAsia" w:ascii="宋体" w:hAnsi="宋体" w:cs="宋体"/>
                <w:szCs w:val="21"/>
              </w:rPr>
              <w:t>4</w:t>
            </w:r>
          </w:p>
        </w:tc>
        <w:tc>
          <w:tcPr>
            <w:tcW w:w="708" w:type="dxa"/>
            <w:noWrap/>
            <w:vAlign w:val="center"/>
          </w:tcPr>
          <w:p>
            <w:pPr>
              <w:jc w:val="center"/>
              <w:rPr>
                <w:rFonts w:ascii="宋体" w:hAnsi="宋体" w:cs="宋体"/>
                <w:szCs w:val="21"/>
              </w:rPr>
            </w:pPr>
            <w:r>
              <w:rPr>
                <w:rFonts w:hint="eastAsia" w:ascii="宋体" w:hAnsi="宋体" w:cs="宋体"/>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7" w:type="dxa"/>
            <w:noWrap/>
            <w:vAlign w:val="center"/>
          </w:tcPr>
          <w:p>
            <w:pPr>
              <w:jc w:val="center"/>
              <w:rPr>
                <w:rFonts w:ascii="宋体" w:hAnsi="宋体" w:cs="宋体"/>
                <w:szCs w:val="21"/>
              </w:rPr>
            </w:pPr>
            <w:r>
              <w:rPr>
                <w:rFonts w:hint="eastAsia" w:ascii="宋体" w:hAnsi="宋体" w:cs="宋体"/>
                <w:szCs w:val="21"/>
              </w:rPr>
              <w:t>4</w:t>
            </w:r>
          </w:p>
        </w:tc>
        <w:tc>
          <w:tcPr>
            <w:tcW w:w="542" w:type="dxa"/>
            <w:noWrap/>
            <w:vAlign w:val="center"/>
          </w:tcPr>
          <w:p>
            <w:pPr>
              <w:jc w:val="center"/>
              <w:rPr>
                <w:rFonts w:ascii="宋体" w:hAnsi="宋体" w:cs="宋体"/>
                <w:szCs w:val="21"/>
              </w:rPr>
            </w:pPr>
            <w:r>
              <w:rPr>
                <w:rFonts w:hint="eastAsia" w:ascii="宋体" w:hAnsi="宋体" w:cs="宋体"/>
                <w:szCs w:val="21"/>
              </w:rPr>
              <w:t>18</w:t>
            </w:r>
          </w:p>
        </w:tc>
        <w:tc>
          <w:tcPr>
            <w:tcW w:w="478" w:type="dxa"/>
            <w:noWrap/>
            <w:vAlign w:val="center"/>
          </w:tcPr>
          <w:p>
            <w:pPr>
              <w:jc w:val="center"/>
              <w:rPr>
                <w:rFonts w:ascii="宋体" w:hAnsi="宋体" w:cs="宋体"/>
                <w:szCs w:val="21"/>
              </w:rPr>
            </w:pPr>
            <w:r>
              <w:rPr>
                <w:rFonts w:hint="eastAsia" w:ascii="宋体" w:hAnsi="宋体" w:cs="宋体"/>
                <w:szCs w:val="21"/>
              </w:rPr>
              <w:t>1</w:t>
            </w:r>
          </w:p>
        </w:tc>
        <w:tc>
          <w:tcPr>
            <w:tcW w:w="1110" w:type="dxa"/>
            <w:noWrap/>
            <w:vAlign w:val="center"/>
          </w:tcPr>
          <w:p>
            <w:pPr>
              <w:jc w:val="center"/>
              <w:rPr>
                <w:rFonts w:ascii="宋体" w:hAnsi="宋体" w:cs="宋体"/>
                <w:szCs w:val="21"/>
              </w:rPr>
            </w:pPr>
          </w:p>
        </w:tc>
        <w:tc>
          <w:tcPr>
            <w:tcW w:w="1053" w:type="dxa"/>
            <w:noWrap/>
            <w:vAlign w:val="center"/>
          </w:tcPr>
          <w:p>
            <w:pPr>
              <w:jc w:val="center"/>
              <w:rPr>
                <w:rFonts w:ascii="宋体" w:hAnsi="宋体" w:cs="宋体"/>
                <w:szCs w:val="21"/>
              </w:rPr>
            </w:pPr>
          </w:p>
        </w:tc>
        <w:tc>
          <w:tcPr>
            <w:tcW w:w="708" w:type="dxa"/>
            <w:noWrap/>
            <w:vAlign w:val="center"/>
          </w:tcPr>
          <w:p>
            <w:pPr>
              <w:jc w:val="center"/>
              <w:rPr>
                <w:rFonts w:ascii="宋体" w:hAnsi="宋体" w:cs="宋体"/>
                <w:szCs w:val="21"/>
              </w:rPr>
            </w:pPr>
          </w:p>
        </w:tc>
        <w:tc>
          <w:tcPr>
            <w:tcW w:w="708" w:type="dxa"/>
            <w:noWrap/>
            <w:vAlign w:val="center"/>
          </w:tcPr>
          <w:p>
            <w:pPr>
              <w:jc w:val="center"/>
              <w:rPr>
                <w:rFonts w:ascii="宋体" w:hAnsi="宋体" w:cs="宋体"/>
                <w:szCs w:val="21"/>
              </w:rPr>
            </w:pPr>
          </w:p>
        </w:tc>
        <w:tc>
          <w:tcPr>
            <w:tcW w:w="844" w:type="dxa"/>
            <w:noWrap/>
            <w:vAlign w:val="center"/>
          </w:tcPr>
          <w:p>
            <w:pPr>
              <w:jc w:val="center"/>
              <w:rPr>
                <w:rFonts w:ascii="宋体" w:hAnsi="宋体" w:cs="宋体"/>
                <w:szCs w:val="21"/>
              </w:rPr>
            </w:pPr>
          </w:p>
        </w:tc>
        <w:tc>
          <w:tcPr>
            <w:tcW w:w="917" w:type="dxa"/>
            <w:noWrap/>
            <w:vAlign w:val="center"/>
          </w:tcPr>
          <w:p>
            <w:pPr>
              <w:jc w:val="center"/>
              <w:rPr>
                <w:rFonts w:ascii="宋体" w:hAnsi="宋体" w:cs="宋体"/>
                <w:szCs w:val="21"/>
              </w:rPr>
            </w:pPr>
          </w:p>
        </w:tc>
        <w:tc>
          <w:tcPr>
            <w:tcW w:w="708" w:type="dxa"/>
            <w:noWrap/>
            <w:vAlign w:val="center"/>
          </w:tcPr>
          <w:p>
            <w:pPr>
              <w:jc w:val="center"/>
              <w:rPr>
                <w:rFonts w:ascii="宋体" w:hAnsi="宋体" w:cs="宋体"/>
                <w:szCs w:val="21"/>
              </w:rPr>
            </w:pPr>
            <w:r>
              <w:rPr>
                <w:rFonts w:hint="eastAsia" w:ascii="宋体" w:hAnsi="宋体" w:cs="宋体"/>
                <w:szCs w:val="21"/>
              </w:rPr>
              <w:t>1</w:t>
            </w:r>
          </w:p>
        </w:tc>
        <w:tc>
          <w:tcPr>
            <w:tcW w:w="708" w:type="dxa"/>
            <w:noWrap/>
            <w:vAlign w:val="center"/>
          </w:tcPr>
          <w:p>
            <w:pPr>
              <w:jc w:val="center"/>
              <w:rPr>
                <w:rFonts w:ascii="宋体" w:hAnsi="宋体" w:cs="宋体"/>
                <w:szCs w:val="21"/>
              </w:rPr>
            </w:pPr>
            <w:r>
              <w:rPr>
                <w:rFonts w:hint="eastAsia" w:ascii="宋体" w:hAnsi="宋体" w:cs="宋体"/>
                <w:szCs w:val="21"/>
              </w:rPr>
              <w:t>8</w:t>
            </w:r>
          </w:p>
        </w:tc>
        <w:tc>
          <w:tcPr>
            <w:tcW w:w="708" w:type="dxa"/>
            <w:noWrap/>
            <w:vAlign w:val="center"/>
          </w:tcPr>
          <w:p>
            <w:pPr>
              <w:jc w:val="center"/>
              <w:rPr>
                <w:rFonts w:ascii="宋体" w:hAnsi="宋体" w:cs="宋体"/>
                <w:szCs w:val="21"/>
              </w:rPr>
            </w:pPr>
            <w:r>
              <w:rPr>
                <w:rFonts w:hint="eastAsia" w:ascii="宋体" w:hAnsi="宋体" w:cs="宋体"/>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7" w:type="dxa"/>
            <w:noWrap/>
            <w:vAlign w:val="center"/>
          </w:tcPr>
          <w:p>
            <w:pPr>
              <w:jc w:val="center"/>
              <w:rPr>
                <w:rFonts w:ascii="宋体" w:hAnsi="宋体" w:cs="宋体"/>
                <w:szCs w:val="21"/>
              </w:rPr>
            </w:pPr>
            <w:r>
              <w:rPr>
                <w:rFonts w:hint="eastAsia" w:ascii="宋体" w:hAnsi="宋体" w:cs="宋体"/>
                <w:szCs w:val="21"/>
              </w:rPr>
              <w:t>5</w:t>
            </w:r>
          </w:p>
        </w:tc>
        <w:tc>
          <w:tcPr>
            <w:tcW w:w="542" w:type="dxa"/>
            <w:noWrap/>
            <w:vAlign w:val="center"/>
          </w:tcPr>
          <w:p>
            <w:pPr>
              <w:jc w:val="center"/>
              <w:rPr>
                <w:rFonts w:ascii="宋体" w:hAnsi="宋体" w:cs="宋体"/>
                <w:szCs w:val="21"/>
              </w:rPr>
            </w:pPr>
            <w:r>
              <w:rPr>
                <w:rFonts w:hint="eastAsia" w:ascii="宋体" w:hAnsi="宋体" w:cs="宋体"/>
                <w:szCs w:val="21"/>
              </w:rPr>
              <w:t>18</w:t>
            </w:r>
          </w:p>
        </w:tc>
        <w:tc>
          <w:tcPr>
            <w:tcW w:w="478" w:type="dxa"/>
            <w:noWrap/>
            <w:vAlign w:val="center"/>
          </w:tcPr>
          <w:p>
            <w:pPr>
              <w:jc w:val="center"/>
              <w:rPr>
                <w:rFonts w:ascii="宋体" w:hAnsi="宋体" w:cs="宋体"/>
                <w:szCs w:val="21"/>
              </w:rPr>
            </w:pPr>
            <w:r>
              <w:rPr>
                <w:rFonts w:hint="eastAsia" w:ascii="宋体" w:hAnsi="宋体" w:cs="宋体"/>
                <w:szCs w:val="21"/>
              </w:rPr>
              <w:t>1</w:t>
            </w:r>
          </w:p>
        </w:tc>
        <w:tc>
          <w:tcPr>
            <w:tcW w:w="1110" w:type="dxa"/>
            <w:noWrap/>
            <w:vAlign w:val="center"/>
          </w:tcPr>
          <w:p>
            <w:pPr>
              <w:jc w:val="center"/>
              <w:rPr>
                <w:rFonts w:ascii="宋体" w:hAnsi="宋体" w:cs="宋体"/>
                <w:szCs w:val="21"/>
              </w:rPr>
            </w:pPr>
          </w:p>
        </w:tc>
        <w:tc>
          <w:tcPr>
            <w:tcW w:w="1053" w:type="dxa"/>
            <w:noWrap/>
            <w:vAlign w:val="center"/>
          </w:tcPr>
          <w:p>
            <w:pPr>
              <w:jc w:val="center"/>
              <w:rPr>
                <w:rFonts w:ascii="宋体" w:hAnsi="宋体" w:cs="宋体"/>
                <w:szCs w:val="21"/>
              </w:rPr>
            </w:pPr>
          </w:p>
        </w:tc>
        <w:tc>
          <w:tcPr>
            <w:tcW w:w="708" w:type="dxa"/>
            <w:noWrap/>
            <w:vAlign w:val="center"/>
          </w:tcPr>
          <w:p>
            <w:pPr>
              <w:jc w:val="center"/>
              <w:rPr>
                <w:rFonts w:ascii="宋体" w:hAnsi="宋体" w:cs="宋体"/>
                <w:szCs w:val="21"/>
              </w:rPr>
            </w:pPr>
            <w:r>
              <w:rPr>
                <w:rFonts w:hint="eastAsia" w:ascii="宋体" w:hAnsi="宋体" w:cs="宋体"/>
                <w:szCs w:val="21"/>
              </w:rPr>
              <w:t>1</w:t>
            </w:r>
          </w:p>
        </w:tc>
        <w:tc>
          <w:tcPr>
            <w:tcW w:w="708" w:type="dxa"/>
            <w:noWrap/>
            <w:vAlign w:val="center"/>
          </w:tcPr>
          <w:p>
            <w:pPr>
              <w:jc w:val="center"/>
              <w:rPr>
                <w:rFonts w:ascii="宋体" w:hAnsi="宋体" w:cs="宋体"/>
                <w:szCs w:val="21"/>
              </w:rPr>
            </w:pPr>
            <w:r>
              <w:rPr>
                <w:rFonts w:hint="eastAsia" w:ascii="宋体" w:hAnsi="宋体" w:cs="宋体"/>
                <w:szCs w:val="21"/>
              </w:rPr>
              <w:t>4</w:t>
            </w:r>
          </w:p>
        </w:tc>
        <w:tc>
          <w:tcPr>
            <w:tcW w:w="844" w:type="dxa"/>
            <w:noWrap/>
            <w:vAlign w:val="center"/>
          </w:tcPr>
          <w:p>
            <w:pPr>
              <w:jc w:val="center"/>
              <w:rPr>
                <w:rFonts w:ascii="宋体" w:hAnsi="宋体" w:cs="宋体"/>
                <w:szCs w:val="21"/>
              </w:rPr>
            </w:pPr>
          </w:p>
        </w:tc>
        <w:tc>
          <w:tcPr>
            <w:tcW w:w="917" w:type="dxa"/>
            <w:noWrap/>
            <w:vAlign w:val="center"/>
          </w:tcPr>
          <w:p>
            <w:pPr>
              <w:jc w:val="center"/>
              <w:rPr>
                <w:rFonts w:ascii="宋体" w:hAnsi="宋体" w:cs="宋体"/>
                <w:szCs w:val="21"/>
              </w:rPr>
            </w:pPr>
            <w:r>
              <w:rPr>
                <w:rFonts w:hint="eastAsia" w:ascii="宋体" w:hAnsi="宋体" w:cs="宋体"/>
                <w:szCs w:val="21"/>
              </w:rPr>
              <w:t>3</w:t>
            </w:r>
          </w:p>
        </w:tc>
        <w:tc>
          <w:tcPr>
            <w:tcW w:w="708" w:type="dxa"/>
            <w:noWrap/>
            <w:vAlign w:val="center"/>
          </w:tcPr>
          <w:p>
            <w:pPr>
              <w:jc w:val="center"/>
              <w:rPr>
                <w:rFonts w:ascii="宋体" w:hAnsi="宋体" w:cs="宋体"/>
                <w:szCs w:val="21"/>
              </w:rPr>
            </w:pPr>
            <w:r>
              <w:rPr>
                <w:rFonts w:hint="eastAsia" w:ascii="宋体" w:hAnsi="宋体" w:cs="宋体"/>
                <w:szCs w:val="21"/>
              </w:rPr>
              <w:t>1</w:t>
            </w:r>
          </w:p>
        </w:tc>
        <w:tc>
          <w:tcPr>
            <w:tcW w:w="708" w:type="dxa"/>
            <w:noWrap/>
            <w:vAlign w:val="center"/>
          </w:tcPr>
          <w:p>
            <w:pPr>
              <w:jc w:val="center"/>
              <w:rPr>
                <w:rFonts w:ascii="宋体" w:hAnsi="宋体" w:cs="宋体"/>
                <w:szCs w:val="21"/>
              </w:rPr>
            </w:pPr>
            <w:r>
              <w:rPr>
                <w:rFonts w:hint="eastAsia" w:ascii="宋体" w:hAnsi="宋体" w:cs="宋体"/>
                <w:szCs w:val="21"/>
              </w:rPr>
              <w:t>4</w:t>
            </w:r>
          </w:p>
        </w:tc>
        <w:tc>
          <w:tcPr>
            <w:tcW w:w="708" w:type="dxa"/>
            <w:noWrap/>
            <w:vAlign w:val="center"/>
          </w:tcPr>
          <w:p>
            <w:pPr>
              <w:jc w:val="center"/>
              <w:rPr>
                <w:rFonts w:ascii="宋体" w:hAnsi="宋体" w:cs="宋体"/>
                <w:szCs w:val="21"/>
              </w:rPr>
            </w:pPr>
            <w:r>
              <w:rPr>
                <w:rFonts w:hint="eastAsia" w:ascii="宋体" w:hAnsi="宋体" w:cs="宋体"/>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7" w:type="dxa"/>
            <w:noWrap/>
            <w:vAlign w:val="center"/>
          </w:tcPr>
          <w:p>
            <w:pPr>
              <w:jc w:val="center"/>
              <w:rPr>
                <w:rFonts w:ascii="宋体" w:hAnsi="宋体" w:cs="宋体"/>
                <w:szCs w:val="21"/>
              </w:rPr>
            </w:pPr>
            <w:r>
              <w:rPr>
                <w:rFonts w:hint="eastAsia" w:ascii="宋体" w:hAnsi="宋体" w:cs="宋体"/>
                <w:szCs w:val="21"/>
              </w:rPr>
              <w:t>6</w:t>
            </w:r>
          </w:p>
        </w:tc>
        <w:tc>
          <w:tcPr>
            <w:tcW w:w="542" w:type="dxa"/>
            <w:noWrap/>
            <w:vAlign w:val="center"/>
          </w:tcPr>
          <w:p>
            <w:pPr>
              <w:jc w:val="center"/>
              <w:rPr>
                <w:rFonts w:ascii="宋体" w:hAnsi="宋体" w:cs="宋体"/>
                <w:szCs w:val="21"/>
              </w:rPr>
            </w:pPr>
          </w:p>
        </w:tc>
        <w:tc>
          <w:tcPr>
            <w:tcW w:w="478" w:type="dxa"/>
            <w:noWrap/>
            <w:vAlign w:val="center"/>
          </w:tcPr>
          <w:p>
            <w:pPr>
              <w:jc w:val="center"/>
              <w:rPr>
                <w:rFonts w:ascii="宋体" w:hAnsi="宋体" w:cs="宋体"/>
                <w:szCs w:val="21"/>
              </w:rPr>
            </w:pPr>
          </w:p>
        </w:tc>
        <w:tc>
          <w:tcPr>
            <w:tcW w:w="1110" w:type="dxa"/>
            <w:noWrap/>
            <w:vAlign w:val="center"/>
          </w:tcPr>
          <w:p>
            <w:pPr>
              <w:jc w:val="center"/>
              <w:rPr>
                <w:rFonts w:ascii="宋体" w:hAnsi="宋体" w:cs="宋体"/>
                <w:szCs w:val="21"/>
              </w:rPr>
            </w:pPr>
          </w:p>
        </w:tc>
        <w:tc>
          <w:tcPr>
            <w:tcW w:w="1053" w:type="dxa"/>
            <w:noWrap/>
            <w:vAlign w:val="center"/>
          </w:tcPr>
          <w:p>
            <w:pPr>
              <w:jc w:val="center"/>
              <w:rPr>
                <w:rFonts w:ascii="宋体" w:hAnsi="宋体" w:cs="宋体"/>
                <w:szCs w:val="21"/>
              </w:rPr>
            </w:pPr>
            <w:r>
              <w:rPr>
                <w:rFonts w:hint="eastAsia" w:ascii="宋体" w:hAnsi="宋体" w:cs="宋体"/>
                <w:szCs w:val="21"/>
              </w:rPr>
              <w:t>17</w:t>
            </w:r>
          </w:p>
        </w:tc>
        <w:tc>
          <w:tcPr>
            <w:tcW w:w="708" w:type="dxa"/>
            <w:noWrap/>
            <w:vAlign w:val="center"/>
          </w:tcPr>
          <w:p>
            <w:pPr>
              <w:jc w:val="center"/>
              <w:rPr>
                <w:rFonts w:ascii="宋体" w:hAnsi="宋体" w:cs="宋体"/>
                <w:szCs w:val="21"/>
              </w:rPr>
            </w:pPr>
          </w:p>
        </w:tc>
        <w:tc>
          <w:tcPr>
            <w:tcW w:w="708" w:type="dxa"/>
            <w:noWrap/>
            <w:vAlign w:val="center"/>
          </w:tcPr>
          <w:p>
            <w:pPr>
              <w:jc w:val="center"/>
              <w:rPr>
                <w:rFonts w:ascii="宋体" w:hAnsi="宋体" w:cs="宋体"/>
                <w:szCs w:val="21"/>
              </w:rPr>
            </w:pPr>
          </w:p>
        </w:tc>
        <w:tc>
          <w:tcPr>
            <w:tcW w:w="844" w:type="dxa"/>
            <w:noWrap/>
            <w:vAlign w:val="center"/>
          </w:tcPr>
          <w:p>
            <w:pPr>
              <w:jc w:val="center"/>
              <w:rPr>
                <w:rFonts w:ascii="宋体" w:hAnsi="宋体" w:cs="宋体"/>
                <w:szCs w:val="21"/>
              </w:rPr>
            </w:pPr>
            <w:r>
              <w:rPr>
                <w:rFonts w:hint="eastAsia" w:ascii="宋体" w:hAnsi="宋体" w:cs="宋体"/>
                <w:szCs w:val="21"/>
              </w:rPr>
              <w:t>1</w:t>
            </w:r>
          </w:p>
        </w:tc>
        <w:tc>
          <w:tcPr>
            <w:tcW w:w="917" w:type="dxa"/>
            <w:noWrap/>
            <w:vAlign w:val="center"/>
          </w:tcPr>
          <w:p>
            <w:pPr>
              <w:jc w:val="center"/>
              <w:rPr>
                <w:rFonts w:ascii="宋体" w:hAnsi="宋体" w:cs="宋体"/>
                <w:szCs w:val="21"/>
              </w:rPr>
            </w:pPr>
            <w:r>
              <w:rPr>
                <w:rFonts w:hint="eastAsia" w:ascii="宋体" w:hAnsi="宋体" w:cs="宋体"/>
                <w:szCs w:val="21"/>
              </w:rPr>
              <w:t>1</w:t>
            </w:r>
          </w:p>
        </w:tc>
        <w:tc>
          <w:tcPr>
            <w:tcW w:w="708" w:type="dxa"/>
            <w:noWrap/>
            <w:vAlign w:val="center"/>
          </w:tcPr>
          <w:p>
            <w:pPr>
              <w:jc w:val="center"/>
              <w:rPr>
                <w:rFonts w:ascii="宋体" w:hAnsi="宋体" w:cs="宋体"/>
                <w:szCs w:val="21"/>
              </w:rPr>
            </w:pPr>
            <w:r>
              <w:rPr>
                <w:rFonts w:hint="eastAsia" w:ascii="宋体" w:hAnsi="宋体" w:cs="宋体"/>
                <w:szCs w:val="21"/>
              </w:rPr>
              <w:t>1</w:t>
            </w:r>
          </w:p>
        </w:tc>
        <w:tc>
          <w:tcPr>
            <w:tcW w:w="708" w:type="dxa"/>
            <w:noWrap/>
            <w:vAlign w:val="center"/>
          </w:tcPr>
          <w:p>
            <w:pPr>
              <w:jc w:val="center"/>
              <w:rPr>
                <w:rFonts w:ascii="宋体" w:hAnsi="宋体" w:cs="宋体"/>
                <w:szCs w:val="21"/>
              </w:rPr>
            </w:pPr>
            <w:r>
              <w:rPr>
                <w:rFonts w:hint="eastAsia" w:ascii="宋体" w:hAnsi="宋体" w:cs="宋体"/>
                <w:szCs w:val="21"/>
              </w:rPr>
              <w:t>8</w:t>
            </w:r>
          </w:p>
        </w:tc>
        <w:tc>
          <w:tcPr>
            <w:tcW w:w="708" w:type="dxa"/>
            <w:noWrap/>
            <w:vAlign w:val="center"/>
          </w:tcPr>
          <w:p>
            <w:pPr>
              <w:jc w:val="center"/>
              <w:rPr>
                <w:rFonts w:ascii="宋体" w:hAnsi="宋体" w:cs="宋体"/>
                <w:szCs w:val="21"/>
              </w:rPr>
            </w:pPr>
            <w:r>
              <w:rPr>
                <w:rFonts w:hint="eastAsia" w:ascii="宋体" w:hAnsi="宋体" w:cs="宋体"/>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7" w:type="dxa"/>
            <w:noWrap/>
            <w:vAlign w:val="center"/>
          </w:tcPr>
          <w:p>
            <w:pPr>
              <w:pStyle w:val="12"/>
              <w:jc w:val="center"/>
              <w:rPr>
                <w:rFonts w:ascii="宋体" w:hAnsi="宋体" w:cs="宋体"/>
                <w:kern w:val="0"/>
                <w:szCs w:val="21"/>
              </w:rPr>
            </w:pPr>
            <w:r>
              <w:rPr>
                <w:rFonts w:hint="eastAsia" w:ascii="宋体" w:hAnsi="宋体" w:cs="宋体"/>
                <w:kern w:val="0"/>
                <w:szCs w:val="21"/>
              </w:rPr>
              <w:t>总计</w:t>
            </w:r>
          </w:p>
        </w:tc>
        <w:tc>
          <w:tcPr>
            <w:tcW w:w="542" w:type="dxa"/>
            <w:noWrap/>
            <w:vAlign w:val="center"/>
          </w:tcPr>
          <w:p>
            <w:pPr>
              <w:jc w:val="center"/>
              <w:rPr>
                <w:rFonts w:ascii="宋体" w:hAnsi="宋体" w:cs="宋体"/>
                <w:szCs w:val="21"/>
              </w:rPr>
            </w:pPr>
            <w:r>
              <w:rPr>
                <w:rFonts w:hint="eastAsia" w:ascii="宋体" w:hAnsi="宋体" w:cs="宋体"/>
                <w:szCs w:val="21"/>
              </w:rPr>
              <w:t>88</w:t>
            </w:r>
          </w:p>
        </w:tc>
        <w:tc>
          <w:tcPr>
            <w:tcW w:w="478" w:type="dxa"/>
            <w:noWrap/>
            <w:vAlign w:val="center"/>
          </w:tcPr>
          <w:p>
            <w:pPr>
              <w:jc w:val="center"/>
              <w:rPr>
                <w:rFonts w:ascii="宋体" w:hAnsi="宋体" w:cs="宋体"/>
                <w:szCs w:val="21"/>
              </w:rPr>
            </w:pPr>
            <w:r>
              <w:rPr>
                <w:rFonts w:hint="eastAsia" w:ascii="宋体" w:hAnsi="宋体" w:cs="宋体"/>
                <w:szCs w:val="21"/>
              </w:rPr>
              <w:t>5</w:t>
            </w:r>
          </w:p>
        </w:tc>
        <w:tc>
          <w:tcPr>
            <w:tcW w:w="1110" w:type="dxa"/>
            <w:noWrap/>
            <w:vAlign w:val="center"/>
          </w:tcPr>
          <w:p>
            <w:pPr>
              <w:jc w:val="center"/>
              <w:rPr>
                <w:rFonts w:ascii="宋体" w:hAnsi="宋体" w:cs="宋体"/>
                <w:szCs w:val="21"/>
              </w:rPr>
            </w:pPr>
            <w:r>
              <w:rPr>
                <w:rFonts w:hint="eastAsia" w:ascii="宋体" w:hAnsi="宋体" w:cs="宋体"/>
                <w:szCs w:val="21"/>
              </w:rPr>
              <w:t>2</w:t>
            </w:r>
          </w:p>
        </w:tc>
        <w:tc>
          <w:tcPr>
            <w:tcW w:w="1053" w:type="dxa"/>
            <w:noWrap/>
            <w:vAlign w:val="center"/>
          </w:tcPr>
          <w:p>
            <w:pPr>
              <w:jc w:val="center"/>
              <w:rPr>
                <w:rFonts w:ascii="宋体" w:hAnsi="宋体" w:cs="宋体"/>
                <w:szCs w:val="21"/>
              </w:rPr>
            </w:pPr>
            <w:r>
              <w:rPr>
                <w:rFonts w:hint="eastAsia" w:ascii="宋体" w:hAnsi="宋体" w:cs="宋体"/>
                <w:szCs w:val="21"/>
              </w:rPr>
              <w:t>17</w:t>
            </w:r>
          </w:p>
        </w:tc>
        <w:tc>
          <w:tcPr>
            <w:tcW w:w="708" w:type="dxa"/>
            <w:noWrap/>
            <w:vAlign w:val="center"/>
          </w:tcPr>
          <w:p>
            <w:pPr>
              <w:jc w:val="center"/>
              <w:rPr>
                <w:rFonts w:ascii="宋体" w:hAnsi="宋体" w:cs="宋体"/>
                <w:szCs w:val="21"/>
              </w:rPr>
            </w:pPr>
          </w:p>
        </w:tc>
        <w:tc>
          <w:tcPr>
            <w:tcW w:w="708" w:type="dxa"/>
            <w:noWrap/>
            <w:vAlign w:val="center"/>
          </w:tcPr>
          <w:p>
            <w:pPr>
              <w:jc w:val="center"/>
              <w:rPr>
                <w:rFonts w:ascii="宋体" w:hAnsi="宋体" w:cs="宋体"/>
                <w:szCs w:val="21"/>
              </w:rPr>
            </w:pPr>
            <w:r>
              <w:rPr>
                <w:rFonts w:hint="eastAsia" w:ascii="宋体" w:hAnsi="宋体" w:cs="宋体"/>
                <w:szCs w:val="21"/>
              </w:rPr>
              <w:t>4</w:t>
            </w:r>
          </w:p>
        </w:tc>
        <w:tc>
          <w:tcPr>
            <w:tcW w:w="844" w:type="dxa"/>
            <w:noWrap/>
            <w:vAlign w:val="center"/>
          </w:tcPr>
          <w:p>
            <w:pPr>
              <w:jc w:val="center"/>
              <w:rPr>
                <w:rFonts w:ascii="宋体" w:hAnsi="宋体" w:cs="宋体"/>
                <w:szCs w:val="21"/>
              </w:rPr>
            </w:pPr>
            <w:r>
              <w:rPr>
                <w:rFonts w:hint="eastAsia" w:ascii="宋体" w:hAnsi="宋体" w:cs="宋体"/>
                <w:szCs w:val="21"/>
              </w:rPr>
              <w:t>1</w:t>
            </w:r>
          </w:p>
        </w:tc>
        <w:tc>
          <w:tcPr>
            <w:tcW w:w="917" w:type="dxa"/>
            <w:noWrap/>
            <w:vAlign w:val="center"/>
          </w:tcPr>
          <w:p>
            <w:pPr>
              <w:jc w:val="center"/>
              <w:rPr>
                <w:rFonts w:ascii="宋体" w:hAnsi="宋体" w:cs="宋体"/>
                <w:szCs w:val="21"/>
              </w:rPr>
            </w:pPr>
            <w:r>
              <w:rPr>
                <w:rFonts w:hint="eastAsia" w:ascii="宋体" w:hAnsi="宋体" w:cs="宋体"/>
                <w:szCs w:val="21"/>
              </w:rPr>
              <w:t>4</w:t>
            </w:r>
          </w:p>
        </w:tc>
        <w:tc>
          <w:tcPr>
            <w:tcW w:w="708" w:type="dxa"/>
            <w:noWrap/>
            <w:vAlign w:val="center"/>
          </w:tcPr>
          <w:p>
            <w:pPr>
              <w:jc w:val="center"/>
              <w:rPr>
                <w:rFonts w:ascii="宋体" w:hAnsi="宋体" w:cs="宋体"/>
                <w:szCs w:val="21"/>
              </w:rPr>
            </w:pPr>
            <w:r>
              <w:rPr>
                <w:rFonts w:hint="eastAsia" w:ascii="宋体" w:hAnsi="宋体" w:cs="宋体"/>
                <w:szCs w:val="21"/>
              </w:rPr>
              <w:t>6</w:t>
            </w:r>
          </w:p>
        </w:tc>
        <w:tc>
          <w:tcPr>
            <w:tcW w:w="708" w:type="dxa"/>
            <w:noWrap/>
            <w:vAlign w:val="center"/>
          </w:tcPr>
          <w:p>
            <w:pPr>
              <w:jc w:val="center"/>
              <w:rPr>
                <w:rFonts w:ascii="宋体" w:hAnsi="宋体" w:cs="宋体"/>
                <w:szCs w:val="21"/>
              </w:rPr>
            </w:pPr>
            <w:r>
              <w:rPr>
                <w:rFonts w:hint="eastAsia" w:ascii="宋体" w:hAnsi="宋体" w:cs="宋体"/>
                <w:szCs w:val="21"/>
              </w:rPr>
              <w:t>36</w:t>
            </w:r>
          </w:p>
        </w:tc>
        <w:tc>
          <w:tcPr>
            <w:tcW w:w="708" w:type="dxa"/>
            <w:noWrap/>
            <w:vAlign w:val="center"/>
          </w:tcPr>
          <w:p>
            <w:pPr>
              <w:jc w:val="center"/>
              <w:rPr>
                <w:rFonts w:ascii="宋体" w:hAnsi="宋体" w:cs="宋体"/>
                <w:szCs w:val="21"/>
              </w:rPr>
            </w:pPr>
            <w:r>
              <w:rPr>
                <w:rFonts w:hint="eastAsia" w:ascii="宋体" w:hAnsi="宋体" w:cs="宋体"/>
                <w:szCs w:val="21"/>
              </w:rPr>
              <w:t>156</w:t>
            </w:r>
          </w:p>
        </w:tc>
      </w:tr>
    </w:tbl>
    <w:p>
      <w:pPr>
        <w:spacing w:line="360" w:lineRule="auto"/>
        <w:ind w:firstLine="420" w:firstLineChars="200"/>
        <w:rPr>
          <w:rFonts w:ascii="宋体" w:hAnsi="宋体" w:cs="微软雅黑"/>
          <w:szCs w:val="21"/>
        </w:rPr>
      </w:pPr>
    </w:p>
    <w:p>
      <w:pPr>
        <w:spacing w:line="360" w:lineRule="auto"/>
        <w:ind w:firstLine="480" w:firstLineChars="200"/>
        <w:rPr>
          <w:rFonts w:ascii="黑体" w:hAnsi="黑体" w:eastAsia="黑体"/>
          <w:sz w:val="24"/>
        </w:rPr>
      </w:pPr>
      <w:r>
        <w:rPr>
          <w:rFonts w:ascii="黑体" w:hAnsi="黑体" w:eastAsia="黑体"/>
          <w:sz w:val="24"/>
        </w:rPr>
        <w:t>（</w:t>
      </w:r>
      <w:r>
        <w:rPr>
          <w:rFonts w:hint="eastAsia" w:ascii="黑体" w:hAnsi="黑体" w:eastAsia="黑体"/>
          <w:sz w:val="24"/>
        </w:rPr>
        <w:t>二</w:t>
      </w:r>
      <w:r>
        <w:rPr>
          <w:rFonts w:ascii="黑体" w:hAnsi="黑体" w:eastAsia="黑体"/>
          <w:sz w:val="24"/>
        </w:rPr>
        <w:t>）</w:t>
      </w:r>
      <w:r>
        <w:rPr>
          <w:rFonts w:hint="eastAsia" w:ascii="黑体" w:hAnsi="黑体" w:eastAsia="黑体"/>
          <w:sz w:val="24"/>
        </w:rPr>
        <w:t>课程设置与教学安排计划表</w:t>
      </w:r>
    </w:p>
    <w:p>
      <w:pPr>
        <w:spacing w:line="360" w:lineRule="auto"/>
        <w:ind w:firstLine="420" w:firstLineChars="200"/>
        <w:rPr>
          <w:rFonts w:ascii="宋体" w:hAnsi="宋体" w:cs="微软雅黑"/>
          <w:szCs w:val="21"/>
        </w:rPr>
      </w:pPr>
      <w:r>
        <w:rPr>
          <w:rFonts w:hint="eastAsia" w:ascii="宋体" w:hAnsi="宋体" w:cs="微软雅黑"/>
          <w:szCs w:val="21"/>
        </w:rPr>
        <w:t>汽车检测与维修技术专业课程设置与教学安排计划如表七所示。</w:t>
      </w:r>
    </w:p>
    <w:p>
      <w:pPr>
        <w:spacing w:line="360" w:lineRule="auto"/>
        <w:ind w:firstLine="420" w:firstLineChars="200"/>
        <w:jc w:val="center"/>
        <w:rPr>
          <w:rFonts w:ascii="宋体" w:hAnsi="宋体"/>
          <w:kern w:val="0"/>
          <w:szCs w:val="21"/>
        </w:rPr>
      </w:pPr>
      <w:r>
        <w:rPr>
          <w:rFonts w:ascii="宋体" w:hAnsi="宋体"/>
          <w:kern w:val="0"/>
          <w:szCs w:val="21"/>
        </w:rPr>
        <w:t>表</w:t>
      </w:r>
      <w:r>
        <w:rPr>
          <w:rFonts w:hint="eastAsia" w:ascii="宋体" w:hAnsi="宋体"/>
          <w:kern w:val="0"/>
          <w:szCs w:val="21"/>
        </w:rPr>
        <w:t>七</w:t>
      </w:r>
      <w:r>
        <w:rPr>
          <w:rFonts w:ascii="宋体" w:hAnsi="宋体"/>
          <w:kern w:val="0"/>
          <w:szCs w:val="21"/>
        </w:rPr>
        <w:t xml:space="preserve"> </w:t>
      </w:r>
      <w:r>
        <w:rPr>
          <w:rFonts w:hint="eastAsia" w:ascii="宋体" w:hAnsi="宋体" w:cs="微软雅黑"/>
          <w:szCs w:val="21"/>
        </w:rPr>
        <w:t>汽车检测与维修技术专业课程设置与教学安排计划表</w:t>
      </w:r>
    </w:p>
    <w:tbl>
      <w:tblPr>
        <w:tblStyle w:val="5"/>
        <w:tblW w:w="11085" w:type="dxa"/>
        <w:jc w:val="center"/>
        <w:tblLayout w:type="autofit"/>
        <w:tblCellMar>
          <w:top w:w="0" w:type="dxa"/>
          <w:left w:w="108" w:type="dxa"/>
          <w:bottom w:w="0" w:type="dxa"/>
          <w:right w:w="108" w:type="dxa"/>
        </w:tblCellMar>
      </w:tblPr>
      <w:tblGrid>
        <w:gridCol w:w="426"/>
        <w:gridCol w:w="426"/>
        <w:gridCol w:w="576"/>
        <w:gridCol w:w="894"/>
        <w:gridCol w:w="1617"/>
        <w:gridCol w:w="467"/>
        <w:gridCol w:w="741"/>
        <w:gridCol w:w="539"/>
        <w:gridCol w:w="640"/>
        <w:gridCol w:w="640"/>
        <w:gridCol w:w="644"/>
        <w:gridCol w:w="584"/>
        <w:gridCol w:w="52"/>
        <w:gridCol w:w="529"/>
        <w:gridCol w:w="6"/>
        <w:gridCol w:w="577"/>
        <w:gridCol w:w="535"/>
        <w:gridCol w:w="46"/>
        <w:gridCol w:w="590"/>
        <w:gridCol w:w="556"/>
      </w:tblGrid>
      <w:tr>
        <w:tblPrEx>
          <w:tblCellMar>
            <w:top w:w="0" w:type="dxa"/>
            <w:left w:w="108" w:type="dxa"/>
            <w:bottom w:w="0" w:type="dxa"/>
            <w:right w:w="108" w:type="dxa"/>
          </w:tblCellMar>
        </w:tblPrEx>
        <w:trPr>
          <w:trHeight w:val="300" w:hRule="atLeast"/>
          <w:tblHeader/>
          <w:jc w:val="center"/>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课程性质</w:t>
            </w:r>
          </w:p>
        </w:tc>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课程类别</w:t>
            </w: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序号</w:t>
            </w: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课程</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编码</w:t>
            </w:r>
          </w:p>
        </w:tc>
        <w:tc>
          <w:tcPr>
            <w:tcW w:w="16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课程名称</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学期</w:t>
            </w:r>
          </w:p>
        </w:tc>
        <w:tc>
          <w:tcPr>
            <w:tcW w:w="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学分</w:t>
            </w:r>
          </w:p>
        </w:tc>
        <w:tc>
          <w:tcPr>
            <w:tcW w:w="19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学时数</w:t>
            </w:r>
          </w:p>
        </w:tc>
        <w:tc>
          <w:tcPr>
            <w:tcW w:w="34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课程教学周学时</w:t>
            </w:r>
          </w:p>
        </w:tc>
      </w:tr>
      <w:tr>
        <w:tblPrEx>
          <w:tblCellMar>
            <w:top w:w="0" w:type="dxa"/>
            <w:left w:w="108" w:type="dxa"/>
            <w:bottom w:w="0" w:type="dxa"/>
            <w:right w:w="108" w:type="dxa"/>
          </w:tblCellMar>
        </w:tblPrEx>
        <w:trPr>
          <w:trHeight w:val="255" w:hRule="atLeast"/>
          <w:tblHeader/>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考试</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考查</w:t>
            </w: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总计</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理论</w:t>
            </w:r>
          </w:p>
        </w:tc>
        <w:tc>
          <w:tcPr>
            <w:tcW w:w="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实践</w:t>
            </w:r>
          </w:p>
        </w:tc>
        <w:tc>
          <w:tcPr>
            <w:tcW w:w="11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第一学年</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第二学年</w:t>
            </w: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第三学年</w:t>
            </w:r>
          </w:p>
        </w:tc>
      </w:tr>
      <w:tr>
        <w:tblPrEx>
          <w:tblCellMar>
            <w:top w:w="0" w:type="dxa"/>
            <w:left w:w="108" w:type="dxa"/>
            <w:bottom w:w="0" w:type="dxa"/>
            <w:right w:w="108" w:type="dxa"/>
          </w:tblCellMar>
        </w:tblPrEx>
        <w:trPr>
          <w:trHeight w:val="255" w:hRule="atLeast"/>
          <w:tblHeader/>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一</w:t>
            </w: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二</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三</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四</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五</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六</w:t>
            </w:r>
          </w:p>
        </w:tc>
      </w:tr>
      <w:tr>
        <w:tblPrEx>
          <w:tblCellMar>
            <w:top w:w="0" w:type="dxa"/>
            <w:left w:w="108" w:type="dxa"/>
            <w:bottom w:w="0" w:type="dxa"/>
            <w:right w:w="108" w:type="dxa"/>
          </w:tblCellMar>
        </w:tblPrEx>
        <w:trPr>
          <w:trHeight w:val="300" w:hRule="atLeast"/>
          <w:tblHeader/>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16周</w:t>
            </w: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18周</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18周</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18周</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18周</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18周</w:t>
            </w:r>
          </w:p>
        </w:tc>
      </w:tr>
      <w:tr>
        <w:tblPrEx>
          <w:tblCellMar>
            <w:top w:w="0" w:type="dxa"/>
            <w:left w:w="108" w:type="dxa"/>
            <w:bottom w:w="0" w:type="dxa"/>
            <w:right w:w="108" w:type="dxa"/>
          </w:tblCellMar>
        </w:tblPrEx>
        <w:trPr>
          <w:trHeight w:val="503" w:hRule="atLeast"/>
          <w:jc w:val="center"/>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公共必修课</w:t>
            </w:r>
          </w:p>
        </w:tc>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公共基础课</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GB0001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军事理论</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 </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36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36 </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18/2</w:t>
            </w: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GB0002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军事技能</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 </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112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 </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112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56/2</w:t>
            </w: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882"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b/>
                <w:bCs/>
                <w:color w:val="FF0000"/>
                <w:szCs w:val="21"/>
              </w:rPr>
              <w:t>3</w:t>
            </w:r>
          </w:p>
        </w:tc>
        <w:tc>
          <w:tcPr>
            <w:tcW w:w="894"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b/>
                <w:bCs/>
                <w:color w:val="FF0000"/>
                <w:szCs w:val="21"/>
              </w:rPr>
              <w:t>GB0003</w:t>
            </w:r>
          </w:p>
        </w:tc>
        <w:tc>
          <w:tcPr>
            <w:tcW w:w="1617" w:type="dxa"/>
            <w:tcBorders>
              <w:top w:val="single" w:color="000000" w:sz="4" w:space="0"/>
              <w:left w:val="nil"/>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Cs w:val="21"/>
              </w:rPr>
            </w:pPr>
            <w:r>
              <w:rPr>
                <w:rFonts w:hint="eastAsia"/>
                <w:b/>
                <w:bCs/>
                <w:color w:val="FF0000"/>
                <w:szCs w:val="21"/>
              </w:rPr>
              <w:t>毛泽东思想和中国特色社会主义理论体系概论</w:t>
            </w:r>
          </w:p>
        </w:tc>
        <w:tc>
          <w:tcPr>
            <w:tcW w:w="467"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Cs w:val="21"/>
              </w:rPr>
            </w:pPr>
            <w:r>
              <w:rPr>
                <w:rFonts w:hint="eastAsia"/>
                <w:b/>
                <w:bCs/>
                <w:color w:val="FF0000"/>
                <w:szCs w:val="21"/>
              </w:rPr>
              <w:t>　</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b/>
                <w:bCs/>
                <w:color w:val="FF0000"/>
                <w:szCs w:val="21"/>
              </w:rPr>
              <w:t xml:space="preserve">2 </w:t>
            </w:r>
          </w:p>
        </w:tc>
        <w:tc>
          <w:tcPr>
            <w:tcW w:w="53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b/>
                <w:bCs/>
                <w:color w:val="FF0000"/>
                <w:szCs w:val="21"/>
              </w:rPr>
              <w:t xml:space="preserve">2 </w:t>
            </w:r>
          </w:p>
        </w:tc>
        <w:tc>
          <w:tcPr>
            <w:tcW w:w="64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b/>
                <w:bCs/>
                <w:color w:val="FF0000"/>
                <w:szCs w:val="21"/>
              </w:rPr>
              <w:t xml:space="preserve">36 </w:t>
            </w:r>
          </w:p>
        </w:tc>
        <w:tc>
          <w:tcPr>
            <w:tcW w:w="64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b/>
                <w:bCs/>
                <w:color w:val="FF0000"/>
                <w:szCs w:val="21"/>
              </w:rPr>
              <w:t xml:space="preserve">24 </w:t>
            </w:r>
          </w:p>
        </w:tc>
        <w:tc>
          <w:tcPr>
            <w:tcW w:w="644"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b/>
                <w:bCs/>
                <w:color w:val="FF0000"/>
                <w:szCs w:val="21"/>
              </w:rPr>
              <w:t xml:space="preserve">12 </w:t>
            </w:r>
          </w:p>
        </w:tc>
        <w:tc>
          <w:tcPr>
            <w:tcW w:w="636" w:type="dxa"/>
            <w:gridSpan w:val="2"/>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Cs w:val="21"/>
              </w:rPr>
            </w:pPr>
            <w:r>
              <w:rPr>
                <w:rFonts w:hint="eastAsia"/>
                <w:b/>
                <w:bCs/>
                <w:color w:val="FF0000"/>
                <w:szCs w:val="21"/>
              </w:rPr>
              <w:t>　</w:t>
            </w:r>
          </w:p>
        </w:tc>
        <w:tc>
          <w:tcPr>
            <w:tcW w:w="535"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b/>
                <w:bCs/>
                <w:color w:val="FF0000"/>
                <w:szCs w:val="21"/>
              </w:rPr>
              <w:t xml:space="preserve">2 </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Cs w:val="21"/>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Cs w:val="21"/>
              </w:rPr>
            </w:pPr>
          </w:p>
        </w:tc>
      </w:tr>
      <w:tr>
        <w:tblPrEx>
          <w:tblCellMar>
            <w:top w:w="0" w:type="dxa"/>
            <w:left w:w="108" w:type="dxa"/>
            <w:bottom w:w="0" w:type="dxa"/>
            <w:right w:w="108" w:type="dxa"/>
          </w:tblCellMar>
        </w:tblPrEx>
        <w:trPr>
          <w:trHeight w:val="92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GB0004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思想道德修养与法律基础(含廉洁修身)</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 </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48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38 </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10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 </w:t>
            </w: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Cs w:val="21"/>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GB0005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形势与政策</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12345 </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40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40 </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 </w:t>
            </w:r>
          </w:p>
        </w:tc>
        <w:tc>
          <w:tcPr>
            <w:tcW w:w="2919" w:type="dxa"/>
            <w:gridSpan w:val="8"/>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每学期8学时</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GB0006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英语</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 </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 </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8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136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108 </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28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 </w:t>
            </w: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 </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Cs w:val="21"/>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GB0007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体育(含健康教育)</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12 </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104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30 </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74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 </w:t>
            </w: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 </w:t>
            </w:r>
          </w:p>
        </w:tc>
        <w:tc>
          <w:tcPr>
            <w:tcW w:w="577"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 </w:t>
            </w:r>
          </w:p>
        </w:tc>
        <w:tc>
          <w:tcPr>
            <w:tcW w:w="535"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Cs w:val="21"/>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GB0008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体能测试</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135 </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18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 </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18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6/1</w:t>
            </w: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ascii="宋体" w:hAnsi="宋体" w:cs="宋体"/>
                <w:color w:val="000000"/>
                <w:szCs w:val="21"/>
              </w:rPr>
            </w:pPr>
          </w:p>
        </w:tc>
        <w:tc>
          <w:tcPr>
            <w:tcW w:w="577"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6/1</w:t>
            </w:r>
          </w:p>
        </w:tc>
        <w:tc>
          <w:tcPr>
            <w:tcW w:w="535" w:type="dxa"/>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ascii="宋体" w:hAnsi="宋体" w:cs="宋体"/>
                <w:color w:val="000000"/>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6/1</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GB0009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信息技术</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12 </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68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30 </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38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 </w:t>
            </w: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 </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GB0010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大学语文</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 </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36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30 </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6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 </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Cs w:val="21"/>
              </w:rPr>
            </w:pPr>
          </w:p>
        </w:tc>
      </w:tr>
      <w:tr>
        <w:tblPrEx>
          <w:tblCellMar>
            <w:top w:w="0" w:type="dxa"/>
            <w:left w:w="108" w:type="dxa"/>
            <w:bottom w:w="0" w:type="dxa"/>
            <w:right w:w="108" w:type="dxa"/>
          </w:tblCellMar>
        </w:tblPrEx>
        <w:trPr>
          <w:trHeight w:val="582"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GB0011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大学生心理健康教育</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 </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32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26 </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6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 </w:t>
            </w: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Cs w:val="21"/>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Cs w:val="21"/>
              </w:rPr>
            </w:pPr>
          </w:p>
        </w:tc>
      </w:tr>
      <w:tr>
        <w:tblPrEx>
          <w:tblCellMar>
            <w:top w:w="0" w:type="dxa"/>
            <w:left w:w="108" w:type="dxa"/>
            <w:bottom w:w="0" w:type="dxa"/>
            <w:right w:w="108" w:type="dxa"/>
          </w:tblCellMar>
        </w:tblPrEx>
        <w:trPr>
          <w:trHeight w:val="62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GB0012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大学生职业发展与就业指导</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12345 </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30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24 </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6 </w:t>
            </w:r>
          </w:p>
        </w:tc>
        <w:tc>
          <w:tcPr>
            <w:tcW w:w="2919" w:type="dxa"/>
            <w:gridSpan w:val="8"/>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每学期6学时</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Cs w:val="21"/>
              </w:rPr>
            </w:pPr>
          </w:p>
        </w:tc>
      </w:tr>
      <w:tr>
        <w:tblPrEx>
          <w:tblCellMar>
            <w:top w:w="0" w:type="dxa"/>
            <w:left w:w="108" w:type="dxa"/>
            <w:bottom w:w="0" w:type="dxa"/>
            <w:right w:w="108" w:type="dxa"/>
          </w:tblCellMar>
        </w:tblPrEx>
        <w:trPr>
          <w:trHeight w:val="60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13</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GB0013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大学生创新创业指导</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12345 </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30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24 </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6 </w:t>
            </w:r>
          </w:p>
        </w:tc>
        <w:tc>
          <w:tcPr>
            <w:tcW w:w="2919" w:type="dxa"/>
            <w:gridSpan w:val="8"/>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每学期6学时</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14</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GB0014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国家安全教育</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12345 </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16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16 </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 </w:t>
            </w:r>
          </w:p>
        </w:tc>
        <w:tc>
          <w:tcPr>
            <w:tcW w:w="2919" w:type="dxa"/>
            <w:gridSpan w:val="8"/>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每</w:t>
            </w:r>
            <w:r>
              <w:rPr>
                <w:rFonts w:hint="eastAsia" w:ascii="宋体" w:hAnsi="宋体" w:cs="宋体"/>
                <w:b/>
                <w:bCs/>
                <w:color w:val="FF0000"/>
                <w:kern w:val="0"/>
                <w:szCs w:val="21"/>
                <w:lang w:bidi="ar"/>
              </w:rPr>
              <w:t>学年</w:t>
            </w:r>
            <w:r>
              <w:rPr>
                <w:rFonts w:hint="eastAsia" w:ascii="宋体" w:hAnsi="宋体" w:cs="宋体"/>
                <w:color w:val="000000"/>
                <w:kern w:val="0"/>
                <w:szCs w:val="21"/>
                <w:lang w:bidi="ar"/>
              </w:rPr>
              <w:t>4-6学时，共16学时</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GB0015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劳动专题教育</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12345 </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16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16 </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 </w:t>
            </w:r>
          </w:p>
        </w:tc>
        <w:tc>
          <w:tcPr>
            <w:tcW w:w="2919" w:type="dxa"/>
            <w:gridSpan w:val="8"/>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每学期2-4学时，共16学时</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Cs w:val="21"/>
              </w:rPr>
            </w:pPr>
          </w:p>
        </w:tc>
      </w:tr>
      <w:tr>
        <w:tblPrEx>
          <w:tblCellMar>
            <w:top w:w="0" w:type="dxa"/>
            <w:left w:w="108" w:type="dxa"/>
            <w:bottom w:w="0" w:type="dxa"/>
            <w:right w:w="108" w:type="dxa"/>
          </w:tblCellMar>
        </w:tblPrEx>
        <w:trPr>
          <w:trHeight w:val="116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16</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GB0016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劳动</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12345 </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44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 </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44 </w:t>
            </w:r>
          </w:p>
        </w:tc>
        <w:tc>
          <w:tcPr>
            <w:tcW w:w="2919" w:type="dxa"/>
            <w:gridSpan w:val="8"/>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每学年设劳动周（安排在寒假或暑假，校内每2周安排一次学生集体劳动，日常实训实习渗透劳动教育）</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Cs w:val="21"/>
              </w:rPr>
            </w:pPr>
          </w:p>
        </w:tc>
      </w:tr>
      <w:tr>
        <w:tblPrEx>
          <w:tblCellMar>
            <w:top w:w="0" w:type="dxa"/>
            <w:left w:w="108" w:type="dxa"/>
            <w:bottom w:w="0" w:type="dxa"/>
            <w:right w:w="108" w:type="dxa"/>
          </w:tblCellMar>
        </w:tblPrEx>
        <w:trPr>
          <w:trHeight w:val="116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b/>
                <w:bCs/>
                <w:color w:val="FF0000"/>
                <w:szCs w:val="21"/>
              </w:rPr>
              <w:t>17</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b/>
                <w:bCs/>
                <w:color w:val="FF0000"/>
                <w:szCs w:val="21"/>
              </w:rPr>
              <w:t>GB0017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Cs w:val="21"/>
                <w:lang w:bidi="ar"/>
              </w:rPr>
            </w:pPr>
            <w:r>
              <w:rPr>
                <w:rFonts w:hint="eastAsia"/>
                <w:b/>
                <w:bCs/>
                <w:color w:val="FF0000"/>
                <w:szCs w:val="21"/>
              </w:rPr>
              <w:t>习近平新时代中国特色社会主义思想概论</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r>
              <w:rPr>
                <w:rFonts w:hint="eastAsia"/>
                <w:b/>
                <w:bCs/>
                <w:color w:val="FF0000"/>
                <w:szCs w:val="21"/>
              </w:rPr>
              <w:t>　</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b/>
                <w:bCs/>
                <w:color w:val="FF0000"/>
                <w:szCs w:val="21"/>
              </w:rPr>
              <w:t>2</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b/>
                <w:bCs/>
                <w:color w:val="FF0000"/>
                <w:szCs w:val="21"/>
              </w:rPr>
              <w:t xml:space="preserve">3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b/>
                <w:bCs/>
                <w:color w:val="FF0000"/>
                <w:szCs w:val="21"/>
              </w:rPr>
              <w:t xml:space="preserve">54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b/>
                <w:bCs/>
                <w:color w:val="FF0000"/>
                <w:szCs w:val="21"/>
              </w:rPr>
              <w:t xml:space="preserve">36 </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b/>
                <w:bCs/>
                <w:color w:val="FF0000"/>
                <w:szCs w:val="21"/>
              </w:rPr>
              <w:t xml:space="preserve">18 </w:t>
            </w:r>
          </w:p>
        </w:tc>
        <w:tc>
          <w:tcPr>
            <w:tcW w:w="58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lang w:bidi="ar"/>
              </w:rPr>
            </w:pPr>
          </w:p>
        </w:tc>
        <w:tc>
          <w:tcPr>
            <w:tcW w:w="581"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FF0000"/>
                <w:szCs w:val="21"/>
              </w:rPr>
              <w:t>3</w:t>
            </w:r>
          </w:p>
        </w:tc>
        <w:tc>
          <w:tcPr>
            <w:tcW w:w="583"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lang w:bidi="ar"/>
              </w:rPr>
            </w:pPr>
          </w:p>
        </w:tc>
        <w:tc>
          <w:tcPr>
            <w:tcW w:w="581"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lang w:bidi="ar"/>
              </w:rPr>
            </w:pPr>
          </w:p>
        </w:tc>
        <w:tc>
          <w:tcPr>
            <w:tcW w:w="59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lang w:bidi="ar"/>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30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公共基础课小计</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cs="宋体"/>
                <w:b/>
                <w:bCs/>
                <w:color w:val="FF0000"/>
                <w:szCs w:val="21"/>
              </w:rPr>
            </w:pPr>
            <w:r>
              <w:rPr>
                <w:color w:val="FF0000"/>
              </w:rPr>
              <w:t xml:space="preserve">42 </w:t>
            </w:r>
          </w:p>
        </w:tc>
        <w:tc>
          <w:tcPr>
            <w:tcW w:w="6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cs="宋体"/>
                <w:b/>
                <w:bCs/>
                <w:color w:val="FF0000"/>
                <w:szCs w:val="21"/>
              </w:rPr>
            </w:pPr>
            <w:r>
              <w:rPr>
                <w:color w:val="FF0000"/>
              </w:rPr>
              <w:t xml:space="preserve">856 </w:t>
            </w:r>
          </w:p>
        </w:tc>
        <w:tc>
          <w:tcPr>
            <w:tcW w:w="6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cs="宋体"/>
                <w:b/>
                <w:bCs/>
                <w:color w:val="FF0000"/>
                <w:szCs w:val="21"/>
              </w:rPr>
            </w:pPr>
            <w:r>
              <w:rPr>
                <w:color w:val="FF0000"/>
              </w:rPr>
              <w:t xml:space="preserve">478 </w:t>
            </w:r>
          </w:p>
        </w:tc>
        <w:tc>
          <w:tcPr>
            <w:tcW w:w="644"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cs="宋体"/>
                <w:b/>
                <w:bCs/>
                <w:color w:val="FF0000"/>
                <w:szCs w:val="21"/>
              </w:rPr>
            </w:pPr>
            <w:r>
              <w:rPr>
                <w:color w:val="FF0000"/>
              </w:rPr>
              <w:t xml:space="preserve">378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82" w:hRule="atLeast"/>
          <w:jc w:val="center"/>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专业必修课</w:t>
            </w:r>
          </w:p>
        </w:tc>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专业核心课</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040401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汽车发动机械系统检测</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 </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6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96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48 </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48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6 </w:t>
            </w: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82"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040402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汽车底盘构造与检修</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 </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72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36 </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36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 </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62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040403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汽车电气设备构造与维修</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 </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6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108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54 </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54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6 </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642"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040404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汽车发动机电控系统检修</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 </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72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36 </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36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 </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040405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汽车维护与保养</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 </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6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108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54 </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54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6 </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040406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汽车故障诊断技术</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 </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72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36 </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36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30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专业核心课小计</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 xml:space="preserve">30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 xml:space="preserve">528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 xml:space="preserve">264 </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 xml:space="preserve">264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Cs w:val="21"/>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Cs w:val="21"/>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Cs w:val="21"/>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其他专业课</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040407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汽车机械基础</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 </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64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48 </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16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 </w:t>
            </w: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040408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汽车机械制图</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 </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64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48 </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16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 </w:t>
            </w: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040409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汽车电工电子</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 </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72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54 </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18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 </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6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040504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汽车文化与汽车常识</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 </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72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48 </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24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 </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642"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040410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汽车底盘电控系统检修</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 </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72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36 </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36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62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040411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汽车空调维护与检修</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 </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72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36 </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36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30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其他专业课小计</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 xml:space="preserve">24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 xml:space="preserve">416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 xml:space="preserve">270 </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 xml:space="preserve">146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Cs w:val="21"/>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Cs w:val="21"/>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Cs w:val="21"/>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114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实习实训课</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040412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1+X证书（汽车运用与维修职业技能等级证书证书）考证实训</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5 </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30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 </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30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Cs w:val="21"/>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Cs w:val="21"/>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Cs w:val="21"/>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1周</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822"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040413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汽车美容、整车维护与保养综合实训</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5 </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120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 </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120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Cs w:val="21"/>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Cs w:val="21"/>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Cs w:val="21"/>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4周</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040414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毕业设计（论文）</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6 </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120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 </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120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Cs w:val="21"/>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Cs w:val="21"/>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Cs w:val="21"/>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3周</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1周</w:t>
            </w: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040415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顶岗实习</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6 </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17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510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 </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510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Cs w:val="21"/>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Cs w:val="21"/>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Cs w:val="21"/>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Cs w:val="21"/>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17周</w:t>
            </w:r>
          </w:p>
        </w:tc>
      </w:tr>
      <w:tr>
        <w:tblPrEx>
          <w:tblCellMar>
            <w:top w:w="0" w:type="dxa"/>
            <w:left w:w="108" w:type="dxa"/>
            <w:bottom w:w="0" w:type="dxa"/>
            <w:right w:w="108" w:type="dxa"/>
          </w:tblCellMar>
        </w:tblPrEx>
        <w:trPr>
          <w:trHeight w:val="402"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30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实习实训课小计</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 xml:space="preserve">26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 xml:space="preserve">780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 xml:space="preserve">0 </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 xml:space="preserve">780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Cs w:val="21"/>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Cs w:val="21"/>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Cs w:val="21"/>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Cs w:val="21"/>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4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35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专业必修课小计</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 xml:space="preserve">80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 xml:space="preserve">1724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 xml:space="preserve">534 </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 xml:space="preserve">1190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Cs w:val="21"/>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Cs w:val="21"/>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Cs w:val="21"/>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Cs w:val="21"/>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683" w:hRule="atLeast"/>
          <w:jc w:val="center"/>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选修课</w:t>
            </w:r>
          </w:p>
        </w:tc>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公共选修课</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GX0001</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GX0002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史学类（开设党史、国史等）</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 </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36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36 </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7"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 </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86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GX0003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马克思主义中国化进程与青年学生使命担当</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 </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16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16 </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 </w:t>
            </w: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GX0004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职业礼仪</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 </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36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30 </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6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692"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GX0005</w:t>
            </w:r>
          </w:p>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GX0006</w:t>
            </w:r>
          </w:p>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GX0007</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GX0008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公共艺术类（开设影视鉴赏、书法鉴赏、美术鉴赏、字体设计等）</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 </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36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36 </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GX0009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中华优秀传统文化</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5 </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20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20 </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2/10</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30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公共选修课需达到6学分</w:t>
            </w:r>
          </w:p>
        </w:tc>
        <w:tc>
          <w:tcPr>
            <w:tcW w:w="467"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Cs w:val="21"/>
              </w:rPr>
            </w:pPr>
          </w:p>
        </w:tc>
        <w:tc>
          <w:tcPr>
            <w:tcW w:w="741"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 xml:space="preserve">6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 xml:space="preserve">108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 xml:space="preserve">102 </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 xml:space="preserve">6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26"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专业选修课</w:t>
            </w:r>
          </w:p>
        </w:tc>
        <w:tc>
          <w:tcPr>
            <w:tcW w:w="57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040416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新能源汽车</w:t>
            </w:r>
          </w:p>
        </w:tc>
        <w:tc>
          <w:tcPr>
            <w:tcW w:w="467"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Cs w:val="21"/>
              </w:rPr>
            </w:pPr>
          </w:p>
        </w:tc>
        <w:tc>
          <w:tcPr>
            <w:tcW w:w="741"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 </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72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36 </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36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2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Cs w:val="21"/>
              </w:rPr>
            </w:pPr>
          </w:p>
        </w:tc>
        <w:tc>
          <w:tcPr>
            <w:tcW w:w="57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040502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汽车营销实务</w:t>
            </w:r>
          </w:p>
        </w:tc>
        <w:tc>
          <w:tcPr>
            <w:tcW w:w="467"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5 </w:t>
            </w:r>
          </w:p>
        </w:tc>
        <w:tc>
          <w:tcPr>
            <w:tcW w:w="741"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60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36 </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24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6/10</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2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Cs w:val="21"/>
              </w:rPr>
            </w:pPr>
          </w:p>
        </w:tc>
        <w:tc>
          <w:tcPr>
            <w:tcW w:w="57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040503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汽车保险与理赔</w:t>
            </w:r>
          </w:p>
        </w:tc>
        <w:tc>
          <w:tcPr>
            <w:tcW w:w="467"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Cs w:val="21"/>
              </w:rPr>
            </w:pPr>
          </w:p>
        </w:tc>
        <w:tc>
          <w:tcPr>
            <w:tcW w:w="741"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 </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72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48 </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24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2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Cs w:val="21"/>
              </w:rPr>
            </w:pPr>
          </w:p>
        </w:tc>
        <w:tc>
          <w:tcPr>
            <w:tcW w:w="57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040507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汽车装饰与美容</w:t>
            </w:r>
          </w:p>
        </w:tc>
        <w:tc>
          <w:tcPr>
            <w:tcW w:w="467"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5 </w:t>
            </w:r>
          </w:p>
        </w:tc>
        <w:tc>
          <w:tcPr>
            <w:tcW w:w="741"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60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36 </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24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6/10</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2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Cs w:val="21"/>
              </w:rPr>
            </w:pPr>
          </w:p>
        </w:tc>
        <w:tc>
          <w:tcPr>
            <w:tcW w:w="57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040505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汽车商务礼仪</w:t>
            </w:r>
          </w:p>
        </w:tc>
        <w:tc>
          <w:tcPr>
            <w:tcW w:w="467"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Cs w:val="21"/>
              </w:rPr>
            </w:pPr>
          </w:p>
        </w:tc>
        <w:tc>
          <w:tcPr>
            <w:tcW w:w="741"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5 </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60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30 </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24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6/10</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66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2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Cs w:val="21"/>
              </w:rPr>
            </w:pPr>
          </w:p>
        </w:tc>
        <w:tc>
          <w:tcPr>
            <w:tcW w:w="57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040417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汽车维修技能实训（中级考证）</w:t>
            </w:r>
          </w:p>
        </w:tc>
        <w:tc>
          <w:tcPr>
            <w:tcW w:w="467"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Cs w:val="21"/>
              </w:rPr>
            </w:pPr>
          </w:p>
        </w:tc>
        <w:tc>
          <w:tcPr>
            <w:tcW w:w="741"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 </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72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36 </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36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 </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60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2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Cs w:val="21"/>
              </w:rPr>
            </w:pPr>
          </w:p>
        </w:tc>
        <w:tc>
          <w:tcPr>
            <w:tcW w:w="57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040418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自动变速器原理与检修</w:t>
            </w:r>
          </w:p>
        </w:tc>
        <w:tc>
          <w:tcPr>
            <w:tcW w:w="467"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 </w:t>
            </w:r>
          </w:p>
        </w:tc>
        <w:tc>
          <w:tcPr>
            <w:tcW w:w="741"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72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36 </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36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 </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22"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2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Cs w:val="21"/>
              </w:rPr>
            </w:pPr>
          </w:p>
        </w:tc>
        <w:tc>
          <w:tcPr>
            <w:tcW w:w="3087" w:type="dxa"/>
            <w:gridSpan w:val="3"/>
            <w:tcBorders>
              <w:top w:val="single" w:color="000000" w:sz="4" w:space="0"/>
              <w:left w:val="nil"/>
              <w:bottom w:val="nil"/>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专业选修课需达到12学分</w:t>
            </w:r>
          </w:p>
        </w:tc>
        <w:tc>
          <w:tcPr>
            <w:tcW w:w="467"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Cs w:val="21"/>
              </w:rPr>
            </w:pPr>
          </w:p>
        </w:tc>
        <w:tc>
          <w:tcPr>
            <w:tcW w:w="741"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 xml:space="preserve">12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 xml:space="preserve">192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 xml:space="preserve">120 </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 xml:space="preserve">72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48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3513" w:type="dxa"/>
            <w:gridSpan w:val="4"/>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选修课小计</w:t>
            </w:r>
          </w:p>
        </w:tc>
        <w:tc>
          <w:tcPr>
            <w:tcW w:w="467"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Cs w:val="21"/>
              </w:rPr>
            </w:pPr>
          </w:p>
        </w:tc>
        <w:tc>
          <w:tcPr>
            <w:tcW w:w="741"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 xml:space="preserve">18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 xml:space="preserve">300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 xml:space="preserve">222 </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 xml:space="preserve">78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3" w:hRule="atLeast"/>
          <w:jc w:val="center"/>
        </w:trPr>
        <w:tc>
          <w:tcPr>
            <w:tcW w:w="514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总计</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FF0000"/>
                <w:szCs w:val="21"/>
              </w:rPr>
            </w:pPr>
            <w:r>
              <w:rPr>
                <w:rFonts w:hint="eastAsia" w:ascii="宋体" w:hAnsi="宋体" w:cs="宋体"/>
                <w:b/>
                <w:bCs/>
                <w:color w:val="FF0000"/>
                <w:kern w:val="0"/>
                <w:szCs w:val="21"/>
                <w:lang w:bidi="ar"/>
              </w:rPr>
              <w:t>140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FF0000"/>
                <w:szCs w:val="21"/>
              </w:rPr>
            </w:pPr>
            <w:r>
              <w:rPr>
                <w:rFonts w:hint="eastAsia" w:ascii="宋体" w:hAnsi="宋体" w:cs="宋体"/>
                <w:b/>
                <w:bCs/>
                <w:color w:val="FF0000"/>
                <w:kern w:val="0"/>
                <w:szCs w:val="21"/>
                <w:lang w:bidi="ar"/>
              </w:rPr>
              <w:t>2916</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FF0000"/>
                <w:szCs w:val="21"/>
              </w:rPr>
            </w:pPr>
            <w:r>
              <w:rPr>
                <w:rFonts w:hint="eastAsia" w:ascii="宋体" w:hAnsi="宋体" w:cs="宋体"/>
                <w:b/>
                <w:bCs/>
                <w:color w:val="FF0000"/>
                <w:kern w:val="0"/>
                <w:szCs w:val="21"/>
                <w:lang w:bidi="ar"/>
              </w:rPr>
              <w:t>1276</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FF0000"/>
                <w:szCs w:val="21"/>
              </w:rPr>
            </w:pPr>
            <w:r>
              <w:rPr>
                <w:rFonts w:hint="eastAsia" w:ascii="宋体" w:hAnsi="宋体" w:cs="宋体"/>
                <w:b/>
                <w:bCs/>
                <w:color w:val="FF0000"/>
                <w:kern w:val="0"/>
                <w:szCs w:val="21"/>
                <w:lang w:bidi="ar"/>
              </w:rPr>
              <w:t>1640</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bl>
    <w:p>
      <w:pPr>
        <w:adjustRightInd w:val="0"/>
        <w:snapToGrid w:val="0"/>
        <w:spacing w:line="360" w:lineRule="auto"/>
        <w:ind w:firstLine="480" w:firstLineChars="200"/>
        <w:jc w:val="left"/>
        <w:rPr>
          <w:rFonts w:ascii="黑体" w:hAnsi="黑体" w:eastAsia="黑体"/>
          <w:sz w:val="24"/>
        </w:rPr>
      </w:pPr>
    </w:p>
    <w:p>
      <w:pPr>
        <w:adjustRightInd w:val="0"/>
        <w:snapToGrid w:val="0"/>
        <w:spacing w:line="360" w:lineRule="auto"/>
        <w:ind w:firstLine="480" w:firstLineChars="200"/>
        <w:jc w:val="left"/>
        <w:rPr>
          <w:rFonts w:ascii="等线" w:hAnsi="等线"/>
        </w:rPr>
      </w:pPr>
      <w:r>
        <w:rPr>
          <w:rFonts w:hint="eastAsia" w:ascii="黑体" w:hAnsi="黑体" w:eastAsia="黑体"/>
          <w:sz w:val="24"/>
        </w:rPr>
        <w:t>（三）课程结构比例表</w:t>
      </w:r>
    </w:p>
    <w:p>
      <w:pPr>
        <w:adjustRightInd w:val="0"/>
        <w:snapToGrid w:val="0"/>
        <w:spacing w:line="360" w:lineRule="auto"/>
        <w:ind w:firstLine="409" w:firstLineChars="195"/>
        <w:rPr>
          <w:rFonts w:ascii="等线" w:hAnsi="等线"/>
        </w:rPr>
      </w:pPr>
      <w:r>
        <w:rPr>
          <w:rFonts w:hint="eastAsia" w:ascii="宋体" w:hAnsi="宋体" w:cs="微软雅黑"/>
          <w:szCs w:val="21"/>
        </w:rPr>
        <w:t>汽车检测与维修技术</w:t>
      </w:r>
      <w:r>
        <w:rPr>
          <w:rFonts w:hint="eastAsia" w:ascii="等线" w:hAnsi="等线"/>
        </w:rPr>
        <w:t>专业课程结构比例如表八所示。</w:t>
      </w:r>
    </w:p>
    <w:p>
      <w:pPr>
        <w:adjustRightInd w:val="0"/>
        <w:snapToGrid w:val="0"/>
        <w:spacing w:line="360" w:lineRule="auto"/>
        <w:jc w:val="center"/>
        <w:rPr>
          <w:rFonts w:ascii="等线" w:hAnsi="等线"/>
        </w:rPr>
      </w:pPr>
      <w:r>
        <w:rPr>
          <w:rFonts w:hint="eastAsia" w:ascii="等线" w:hAnsi="等线"/>
        </w:rPr>
        <w:t xml:space="preserve">表八 </w:t>
      </w:r>
      <w:r>
        <w:rPr>
          <w:rFonts w:hint="eastAsia" w:ascii="宋体" w:hAnsi="宋体" w:cs="微软雅黑"/>
          <w:szCs w:val="21"/>
        </w:rPr>
        <w:t>汽车检测与维修技术</w:t>
      </w:r>
      <w:r>
        <w:rPr>
          <w:rFonts w:hint="eastAsia" w:ascii="等线" w:hAnsi="等线"/>
        </w:rPr>
        <w:t>专业课程结构比例表</w:t>
      </w:r>
    </w:p>
    <w:tbl>
      <w:tblPr>
        <w:tblStyle w:val="5"/>
        <w:tblW w:w="9165" w:type="dxa"/>
        <w:tblInd w:w="93" w:type="dxa"/>
        <w:tblLayout w:type="autofit"/>
        <w:tblCellMar>
          <w:top w:w="0" w:type="dxa"/>
          <w:left w:w="108" w:type="dxa"/>
          <w:bottom w:w="0" w:type="dxa"/>
          <w:right w:w="108" w:type="dxa"/>
        </w:tblCellMar>
      </w:tblPr>
      <w:tblGrid>
        <w:gridCol w:w="1515"/>
        <w:gridCol w:w="1275"/>
        <w:gridCol w:w="1275"/>
        <w:gridCol w:w="1275"/>
        <w:gridCol w:w="1275"/>
        <w:gridCol w:w="1275"/>
        <w:gridCol w:w="1275"/>
      </w:tblGrid>
      <w:tr>
        <w:tblPrEx>
          <w:tblCellMar>
            <w:top w:w="0" w:type="dxa"/>
            <w:left w:w="108" w:type="dxa"/>
            <w:bottom w:w="0" w:type="dxa"/>
            <w:right w:w="108" w:type="dxa"/>
          </w:tblCellMar>
        </w:tblPrEx>
        <w:trPr>
          <w:trHeight w:val="443" w:hRule="atLeast"/>
        </w:trPr>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课程分类</w:t>
            </w:r>
          </w:p>
        </w:tc>
        <w:tc>
          <w:tcPr>
            <w:tcW w:w="76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学时及比例</w:t>
            </w:r>
          </w:p>
        </w:tc>
      </w:tr>
      <w:tr>
        <w:tblPrEx>
          <w:tblCellMar>
            <w:top w:w="0" w:type="dxa"/>
            <w:left w:w="108" w:type="dxa"/>
            <w:bottom w:w="0" w:type="dxa"/>
            <w:right w:w="108" w:type="dxa"/>
          </w:tblCellMar>
        </w:tblPrEx>
        <w:trPr>
          <w:trHeight w:val="540" w:hRule="atLeast"/>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Cs w:val="21"/>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总学时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理论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实践</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w:t>
            </w:r>
          </w:p>
        </w:tc>
      </w:tr>
      <w:tr>
        <w:tblPrEx>
          <w:tblCellMar>
            <w:top w:w="0" w:type="dxa"/>
            <w:left w:w="108" w:type="dxa"/>
            <w:bottom w:w="0" w:type="dxa"/>
            <w:right w:w="108" w:type="dxa"/>
          </w:tblCellMar>
        </w:tblPrEx>
        <w:trPr>
          <w:trHeight w:val="443"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公共必修课程</w:t>
            </w:r>
          </w:p>
        </w:tc>
        <w:tc>
          <w:tcPr>
            <w:tcW w:w="1275" w:type="dxa"/>
            <w:tcBorders>
              <w:top w:val="single" w:color="000000" w:sz="8" w:space="0"/>
              <w:left w:val="nil"/>
              <w:bottom w:val="single" w:color="000000" w:sz="8" w:space="0"/>
              <w:right w:val="single" w:color="000000" w:sz="8" w:space="0"/>
            </w:tcBorders>
            <w:shd w:val="clear" w:color="auto" w:fill="auto"/>
          </w:tcPr>
          <w:p>
            <w:pPr>
              <w:widowControl/>
              <w:jc w:val="center"/>
              <w:textAlignment w:val="center"/>
              <w:rPr>
                <w:rFonts w:ascii="宋体" w:hAnsi="宋体" w:cs="宋体"/>
                <w:color w:val="FF0000"/>
                <w:szCs w:val="21"/>
              </w:rPr>
            </w:pPr>
            <w:r>
              <w:rPr>
                <w:color w:val="FF0000"/>
              </w:rPr>
              <w:t>856</w:t>
            </w:r>
          </w:p>
        </w:tc>
        <w:tc>
          <w:tcPr>
            <w:tcW w:w="1275" w:type="dxa"/>
            <w:tcBorders>
              <w:top w:val="single" w:color="000000" w:sz="8" w:space="0"/>
              <w:left w:val="nil"/>
              <w:bottom w:val="single" w:color="000000" w:sz="8" w:space="0"/>
              <w:right w:val="single" w:color="000000" w:sz="8" w:space="0"/>
            </w:tcBorders>
            <w:shd w:val="clear" w:color="auto" w:fill="auto"/>
          </w:tcPr>
          <w:p>
            <w:pPr>
              <w:widowControl/>
              <w:jc w:val="center"/>
              <w:textAlignment w:val="center"/>
              <w:rPr>
                <w:rFonts w:ascii="宋体" w:hAnsi="宋体" w:cs="宋体"/>
                <w:b/>
                <w:bCs/>
                <w:color w:val="FF0000"/>
                <w:szCs w:val="21"/>
              </w:rPr>
            </w:pPr>
            <w:r>
              <w:rPr>
                <w:color w:val="FF0000"/>
              </w:rPr>
              <w:t>29.72%</w:t>
            </w:r>
          </w:p>
        </w:tc>
        <w:tc>
          <w:tcPr>
            <w:tcW w:w="1275" w:type="dxa"/>
            <w:tcBorders>
              <w:top w:val="single" w:color="000000" w:sz="8" w:space="0"/>
              <w:left w:val="nil"/>
              <w:bottom w:val="single" w:color="000000" w:sz="8" w:space="0"/>
              <w:right w:val="single" w:color="000000" w:sz="8" w:space="0"/>
            </w:tcBorders>
            <w:shd w:val="clear" w:color="auto" w:fill="auto"/>
          </w:tcPr>
          <w:p>
            <w:pPr>
              <w:widowControl/>
              <w:jc w:val="center"/>
              <w:textAlignment w:val="center"/>
              <w:rPr>
                <w:rFonts w:ascii="宋体" w:hAnsi="宋体" w:cs="宋体"/>
                <w:color w:val="FF0000"/>
                <w:szCs w:val="21"/>
              </w:rPr>
            </w:pPr>
            <w:r>
              <w:rPr>
                <w:color w:val="FF0000"/>
              </w:rPr>
              <w:t>478</w:t>
            </w:r>
          </w:p>
        </w:tc>
        <w:tc>
          <w:tcPr>
            <w:tcW w:w="1275" w:type="dxa"/>
            <w:tcBorders>
              <w:top w:val="single" w:color="000000" w:sz="8" w:space="0"/>
              <w:left w:val="nil"/>
              <w:bottom w:val="single" w:color="000000" w:sz="8" w:space="0"/>
              <w:right w:val="single" w:color="000000" w:sz="8" w:space="0"/>
            </w:tcBorders>
            <w:shd w:val="clear" w:color="auto" w:fill="auto"/>
          </w:tcPr>
          <w:p>
            <w:pPr>
              <w:widowControl/>
              <w:jc w:val="center"/>
              <w:textAlignment w:val="center"/>
              <w:rPr>
                <w:rFonts w:ascii="宋体" w:hAnsi="宋体" w:cs="宋体"/>
                <w:color w:val="FF0000"/>
                <w:szCs w:val="21"/>
              </w:rPr>
            </w:pPr>
            <w:r>
              <w:rPr>
                <w:color w:val="FF0000"/>
              </w:rPr>
              <w:t>16.60%</w:t>
            </w:r>
          </w:p>
        </w:tc>
        <w:tc>
          <w:tcPr>
            <w:tcW w:w="1275" w:type="dxa"/>
            <w:tcBorders>
              <w:top w:val="single" w:color="000000" w:sz="8" w:space="0"/>
              <w:left w:val="nil"/>
              <w:bottom w:val="single" w:color="000000" w:sz="8" w:space="0"/>
              <w:right w:val="single" w:color="000000" w:sz="8" w:space="0"/>
            </w:tcBorders>
            <w:shd w:val="clear" w:color="auto" w:fill="auto"/>
          </w:tcPr>
          <w:p>
            <w:pPr>
              <w:widowControl/>
              <w:jc w:val="center"/>
              <w:textAlignment w:val="center"/>
              <w:rPr>
                <w:rFonts w:ascii="宋体" w:hAnsi="宋体" w:cs="宋体"/>
                <w:color w:val="FF0000"/>
                <w:szCs w:val="21"/>
              </w:rPr>
            </w:pPr>
            <w:r>
              <w:rPr>
                <w:color w:val="FF0000"/>
              </w:rPr>
              <w:t>378</w:t>
            </w:r>
          </w:p>
        </w:tc>
        <w:tc>
          <w:tcPr>
            <w:tcW w:w="1275" w:type="dxa"/>
            <w:tcBorders>
              <w:top w:val="single" w:color="000000" w:sz="8" w:space="0"/>
              <w:left w:val="nil"/>
              <w:bottom w:val="single" w:color="000000" w:sz="8" w:space="0"/>
              <w:right w:val="single" w:color="000000" w:sz="8" w:space="0"/>
            </w:tcBorders>
            <w:shd w:val="clear" w:color="auto" w:fill="auto"/>
          </w:tcPr>
          <w:p>
            <w:pPr>
              <w:widowControl/>
              <w:jc w:val="center"/>
              <w:textAlignment w:val="center"/>
              <w:rPr>
                <w:rFonts w:ascii="宋体" w:hAnsi="宋体" w:cs="宋体"/>
                <w:color w:val="FF0000"/>
                <w:szCs w:val="21"/>
              </w:rPr>
            </w:pPr>
            <w:r>
              <w:rPr>
                <w:color w:val="FF0000"/>
              </w:rPr>
              <w:t>13.13%</w:t>
            </w:r>
          </w:p>
        </w:tc>
      </w:tr>
      <w:tr>
        <w:tblPrEx>
          <w:tblCellMar>
            <w:top w:w="0" w:type="dxa"/>
            <w:left w:w="108" w:type="dxa"/>
            <w:bottom w:w="0" w:type="dxa"/>
            <w:right w:w="108" w:type="dxa"/>
          </w:tblCellMar>
        </w:tblPrEx>
        <w:trPr>
          <w:trHeight w:val="443"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专业必修课程</w:t>
            </w:r>
          </w:p>
        </w:tc>
        <w:tc>
          <w:tcPr>
            <w:tcW w:w="1275" w:type="dxa"/>
            <w:tcBorders>
              <w:top w:val="nil"/>
              <w:left w:val="nil"/>
              <w:bottom w:val="single" w:color="000000" w:sz="8" w:space="0"/>
              <w:right w:val="single" w:color="000000" w:sz="8" w:space="0"/>
            </w:tcBorders>
            <w:shd w:val="clear" w:color="auto" w:fill="auto"/>
          </w:tcPr>
          <w:p>
            <w:pPr>
              <w:widowControl/>
              <w:jc w:val="center"/>
              <w:textAlignment w:val="center"/>
              <w:rPr>
                <w:rFonts w:ascii="宋体" w:hAnsi="宋体" w:cs="宋体"/>
                <w:color w:val="000000"/>
                <w:szCs w:val="21"/>
              </w:rPr>
            </w:pPr>
            <w:r>
              <w:t>1724</w:t>
            </w:r>
          </w:p>
        </w:tc>
        <w:tc>
          <w:tcPr>
            <w:tcW w:w="1275" w:type="dxa"/>
            <w:tcBorders>
              <w:top w:val="nil"/>
              <w:left w:val="nil"/>
              <w:bottom w:val="single" w:color="000000" w:sz="8" w:space="0"/>
              <w:right w:val="single" w:color="000000" w:sz="8" w:space="0"/>
            </w:tcBorders>
            <w:shd w:val="clear" w:color="auto" w:fill="auto"/>
          </w:tcPr>
          <w:p>
            <w:pPr>
              <w:widowControl/>
              <w:jc w:val="center"/>
              <w:textAlignment w:val="center"/>
              <w:rPr>
                <w:rFonts w:ascii="宋体" w:hAnsi="宋体" w:cs="宋体"/>
                <w:color w:val="FF0000"/>
                <w:szCs w:val="21"/>
              </w:rPr>
            </w:pPr>
            <w:r>
              <w:rPr>
                <w:color w:val="FF0000"/>
              </w:rPr>
              <w:t>59.86%</w:t>
            </w:r>
          </w:p>
        </w:tc>
        <w:tc>
          <w:tcPr>
            <w:tcW w:w="1275" w:type="dxa"/>
            <w:tcBorders>
              <w:top w:val="nil"/>
              <w:left w:val="nil"/>
              <w:bottom w:val="single" w:color="000000" w:sz="8" w:space="0"/>
              <w:right w:val="single" w:color="000000" w:sz="8" w:space="0"/>
            </w:tcBorders>
            <w:shd w:val="clear" w:color="auto" w:fill="auto"/>
          </w:tcPr>
          <w:p>
            <w:pPr>
              <w:widowControl/>
              <w:jc w:val="center"/>
              <w:textAlignment w:val="center"/>
              <w:rPr>
                <w:rFonts w:ascii="宋体" w:hAnsi="宋体" w:cs="宋体"/>
                <w:color w:val="000000"/>
                <w:szCs w:val="21"/>
              </w:rPr>
            </w:pPr>
            <w:r>
              <w:t>534</w:t>
            </w:r>
          </w:p>
        </w:tc>
        <w:tc>
          <w:tcPr>
            <w:tcW w:w="1275" w:type="dxa"/>
            <w:tcBorders>
              <w:top w:val="nil"/>
              <w:left w:val="nil"/>
              <w:bottom w:val="single" w:color="000000" w:sz="8" w:space="0"/>
              <w:right w:val="single" w:color="000000" w:sz="8" w:space="0"/>
            </w:tcBorders>
            <w:shd w:val="clear" w:color="auto" w:fill="auto"/>
          </w:tcPr>
          <w:p>
            <w:pPr>
              <w:widowControl/>
              <w:jc w:val="center"/>
              <w:textAlignment w:val="center"/>
              <w:rPr>
                <w:rFonts w:ascii="宋体" w:hAnsi="宋体" w:cs="宋体"/>
                <w:color w:val="FF0000"/>
                <w:szCs w:val="21"/>
              </w:rPr>
            </w:pPr>
            <w:r>
              <w:rPr>
                <w:color w:val="FF0000"/>
              </w:rPr>
              <w:t>18.54%</w:t>
            </w:r>
          </w:p>
        </w:tc>
        <w:tc>
          <w:tcPr>
            <w:tcW w:w="1275" w:type="dxa"/>
            <w:tcBorders>
              <w:top w:val="nil"/>
              <w:left w:val="nil"/>
              <w:bottom w:val="single" w:color="000000" w:sz="8" w:space="0"/>
              <w:right w:val="single" w:color="000000" w:sz="8" w:space="0"/>
            </w:tcBorders>
            <w:shd w:val="clear" w:color="auto" w:fill="auto"/>
          </w:tcPr>
          <w:p>
            <w:pPr>
              <w:widowControl/>
              <w:jc w:val="center"/>
              <w:textAlignment w:val="center"/>
              <w:rPr>
                <w:rFonts w:ascii="宋体" w:hAnsi="宋体" w:cs="宋体"/>
                <w:color w:val="000000"/>
                <w:szCs w:val="21"/>
              </w:rPr>
            </w:pPr>
            <w:r>
              <w:t>1190</w:t>
            </w:r>
          </w:p>
        </w:tc>
        <w:tc>
          <w:tcPr>
            <w:tcW w:w="1275" w:type="dxa"/>
            <w:tcBorders>
              <w:top w:val="nil"/>
              <w:left w:val="nil"/>
              <w:bottom w:val="single" w:color="000000" w:sz="8" w:space="0"/>
              <w:right w:val="single" w:color="000000" w:sz="8" w:space="0"/>
            </w:tcBorders>
            <w:shd w:val="clear" w:color="auto" w:fill="auto"/>
          </w:tcPr>
          <w:p>
            <w:pPr>
              <w:widowControl/>
              <w:jc w:val="center"/>
              <w:textAlignment w:val="center"/>
              <w:rPr>
                <w:rFonts w:ascii="宋体" w:hAnsi="宋体" w:cs="宋体"/>
                <w:color w:val="FF0000"/>
                <w:szCs w:val="21"/>
              </w:rPr>
            </w:pPr>
            <w:r>
              <w:rPr>
                <w:color w:val="FF0000"/>
              </w:rPr>
              <w:t>41.32%</w:t>
            </w:r>
          </w:p>
        </w:tc>
      </w:tr>
      <w:tr>
        <w:tblPrEx>
          <w:tblCellMar>
            <w:top w:w="0" w:type="dxa"/>
            <w:left w:w="108" w:type="dxa"/>
            <w:bottom w:w="0" w:type="dxa"/>
            <w:right w:w="108" w:type="dxa"/>
          </w:tblCellMar>
        </w:tblPrEx>
        <w:trPr>
          <w:trHeight w:val="443"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必修课程小计</w:t>
            </w:r>
          </w:p>
        </w:tc>
        <w:tc>
          <w:tcPr>
            <w:tcW w:w="1275" w:type="dxa"/>
            <w:tcBorders>
              <w:top w:val="nil"/>
              <w:left w:val="nil"/>
              <w:bottom w:val="single" w:color="000000" w:sz="8" w:space="0"/>
              <w:right w:val="single" w:color="000000" w:sz="8" w:space="0"/>
            </w:tcBorders>
            <w:shd w:val="clear" w:color="auto" w:fill="auto"/>
          </w:tcPr>
          <w:p>
            <w:pPr>
              <w:widowControl/>
              <w:jc w:val="center"/>
              <w:textAlignment w:val="center"/>
              <w:rPr>
                <w:rFonts w:ascii="宋体" w:hAnsi="宋体" w:cs="宋体"/>
                <w:color w:val="FF0000"/>
                <w:szCs w:val="21"/>
              </w:rPr>
            </w:pPr>
            <w:r>
              <w:rPr>
                <w:color w:val="FF0000"/>
              </w:rPr>
              <w:t>2580</w:t>
            </w:r>
          </w:p>
        </w:tc>
        <w:tc>
          <w:tcPr>
            <w:tcW w:w="1275" w:type="dxa"/>
            <w:tcBorders>
              <w:top w:val="nil"/>
              <w:left w:val="nil"/>
              <w:bottom w:val="single" w:color="000000" w:sz="8" w:space="0"/>
              <w:right w:val="single" w:color="000000" w:sz="8" w:space="0"/>
            </w:tcBorders>
            <w:shd w:val="clear" w:color="auto" w:fill="auto"/>
          </w:tcPr>
          <w:p>
            <w:pPr>
              <w:widowControl/>
              <w:jc w:val="center"/>
              <w:textAlignment w:val="center"/>
              <w:rPr>
                <w:rFonts w:ascii="宋体" w:hAnsi="宋体" w:cs="宋体"/>
                <w:color w:val="FF0000"/>
                <w:szCs w:val="21"/>
              </w:rPr>
            </w:pPr>
            <w:r>
              <w:rPr>
                <w:color w:val="FF0000"/>
              </w:rPr>
              <w:t>89.58%</w:t>
            </w:r>
          </w:p>
        </w:tc>
        <w:tc>
          <w:tcPr>
            <w:tcW w:w="1275" w:type="dxa"/>
            <w:tcBorders>
              <w:top w:val="nil"/>
              <w:left w:val="nil"/>
              <w:bottom w:val="single" w:color="000000" w:sz="8" w:space="0"/>
              <w:right w:val="single" w:color="000000" w:sz="8" w:space="0"/>
            </w:tcBorders>
            <w:shd w:val="clear" w:color="auto" w:fill="auto"/>
          </w:tcPr>
          <w:p>
            <w:pPr>
              <w:widowControl/>
              <w:jc w:val="center"/>
              <w:textAlignment w:val="center"/>
              <w:rPr>
                <w:rFonts w:ascii="宋体" w:hAnsi="宋体" w:cs="宋体"/>
                <w:color w:val="FF0000"/>
                <w:szCs w:val="21"/>
              </w:rPr>
            </w:pPr>
            <w:r>
              <w:rPr>
                <w:color w:val="FF0000"/>
              </w:rPr>
              <w:t>1012</w:t>
            </w:r>
          </w:p>
        </w:tc>
        <w:tc>
          <w:tcPr>
            <w:tcW w:w="1275" w:type="dxa"/>
            <w:tcBorders>
              <w:top w:val="nil"/>
              <w:left w:val="nil"/>
              <w:bottom w:val="single" w:color="000000" w:sz="8" w:space="0"/>
              <w:right w:val="single" w:color="000000" w:sz="8" w:space="0"/>
            </w:tcBorders>
            <w:shd w:val="clear" w:color="auto" w:fill="auto"/>
          </w:tcPr>
          <w:p>
            <w:pPr>
              <w:widowControl/>
              <w:jc w:val="center"/>
              <w:textAlignment w:val="center"/>
              <w:rPr>
                <w:rFonts w:ascii="宋体" w:hAnsi="宋体" w:cs="宋体"/>
                <w:color w:val="FF0000"/>
                <w:szCs w:val="21"/>
              </w:rPr>
            </w:pPr>
            <w:r>
              <w:rPr>
                <w:color w:val="FF0000"/>
              </w:rPr>
              <w:t>35.14%</w:t>
            </w:r>
          </w:p>
        </w:tc>
        <w:tc>
          <w:tcPr>
            <w:tcW w:w="1275" w:type="dxa"/>
            <w:tcBorders>
              <w:top w:val="nil"/>
              <w:left w:val="nil"/>
              <w:bottom w:val="single" w:color="000000" w:sz="8" w:space="0"/>
              <w:right w:val="single" w:color="000000" w:sz="8" w:space="0"/>
            </w:tcBorders>
            <w:shd w:val="clear" w:color="auto" w:fill="auto"/>
          </w:tcPr>
          <w:p>
            <w:pPr>
              <w:widowControl/>
              <w:jc w:val="center"/>
              <w:textAlignment w:val="center"/>
              <w:rPr>
                <w:rFonts w:ascii="宋体" w:hAnsi="宋体" w:cs="宋体"/>
                <w:color w:val="FF0000"/>
                <w:szCs w:val="21"/>
              </w:rPr>
            </w:pPr>
            <w:r>
              <w:rPr>
                <w:color w:val="FF0000"/>
              </w:rPr>
              <w:t>1568</w:t>
            </w:r>
          </w:p>
        </w:tc>
        <w:tc>
          <w:tcPr>
            <w:tcW w:w="1275" w:type="dxa"/>
            <w:tcBorders>
              <w:top w:val="nil"/>
              <w:left w:val="nil"/>
              <w:bottom w:val="single" w:color="000000" w:sz="8" w:space="0"/>
              <w:right w:val="single" w:color="000000" w:sz="8" w:space="0"/>
            </w:tcBorders>
            <w:shd w:val="clear" w:color="auto" w:fill="auto"/>
          </w:tcPr>
          <w:p>
            <w:pPr>
              <w:widowControl/>
              <w:jc w:val="center"/>
              <w:textAlignment w:val="center"/>
              <w:rPr>
                <w:rFonts w:ascii="宋体" w:hAnsi="宋体" w:cs="宋体"/>
                <w:color w:val="FF0000"/>
                <w:szCs w:val="21"/>
              </w:rPr>
            </w:pPr>
            <w:r>
              <w:rPr>
                <w:color w:val="FF0000"/>
              </w:rPr>
              <w:t>54.44%</w:t>
            </w:r>
          </w:p>
        </w:tc>
      </w:tr>
      <w:tr>
        <w:tblPrEx>
          <w:tblCellMar>
            <w:top w:w="0" w:type="dxa"/>
            <w:left w:w="108" w:type="dxa"/>
            <w:bottom w:w="0" w:type="dxa"/>
            <w:right w:w="108" w:type="dxa"/>
          </w:tblCellMar>
        </w:tblPrEx>
        <w:trPr>
          <w:trHeight w:val="443"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公共选修课程</w:t>
            </w:r>
          </w:p>
        </w:tc>
        <w:tc>
          <w:tcPr>
            <w:tcW w:w="1275" w:type="dxa"/>
            <w:tcBorders>
              <w:top w:val="nil"/>
              <w:left w:val="nil"/>
              <w:bottom w:val="single" w:color="000000" w:sz="8" w:space="0"/>
              <w:right w:val="single" w:color="000000" w:sz="8" w:space="0"/>
            </w:tcBorders>
            <w:shd w:val="clear" w:color="auto" w:fill="auto"/>
          </w:tcPr>
          <w:p>
            <w:pPr>
              <w:widowControl/>
              <w:jc w:val="center"/>
              <w:textAlignment w:val="center"/>
              <w:rPr>
                <w:rFonts w:ascii="宋体" w:hAnsi="宋体" w:cs="宋体"/>
                <w:color w:val="000000"/>
                <w:szCs w:val="21"/>
              </w:rPr>
            </w:pPr>
            <w:r>
              <w:t>108</w:t>
            </w:r>
          </w:p>
        </w:tc>
        <w:tc>
          <w:tcPr>
            <w:tcW w:w="1275" w:type="dxa"/>
            <w:tcBorders>
              <w:top w:val="nil"/>
              <w:left w:val="nil"/>
              <w:bottom w:val="single" w:color="000000" w:sz="8" w:space="0"/>
              <w:right w:val="single" w:color="000000" w:sz="8" w:space="0"/>
            </w:tcBorders>
            <w:shd w:val="clear" w:color="auto" w:fill="auto"/>
          </w:tcPr>
          <w:p>
            <w:pPr>
              <w:widowControl/>
              <w:jc w:val="center"/>
              <w:textAlignment w:val="center"/>
              <w:rPr>
                <w:rFonts w:ascii="宋体" w:hAnsi="宋体" w:cs="宋体"/>
                <w:color w:val="FF0000"/>
                <w:szCs w:val="21"/>
              </w:rPr>
            </w:pPr>
            <w:r>
              <w:rPr>
                <w:color w:val="FF0000"/>
              </w:rPr>
              <w:t>3.75%</w:t>
            </w:r>
          </w:p>
        </w:tc>
        <w:tc>
          <w:tcPr>
            <w:tcW w:w="1275" w:type="dxa"/>
            <w:tcBorders>
              <w:top w:val="nil"/>
              <w:left w:val="nil"/>
              <w:bottom w:val="single" w:color="000000" w:sz="8" w:space="0"/>
              <w:right w:val="single" w:color="000000" w:sz="8" w:space="0"/>
            </w:tcBorders>
            <w:shd w:val="clear" w:color="auto" w:fill="auto"/>
          </w:tcPr>
          <w:p>
            <w:pPr>
              <w:widowControl/>
              <w:jc w:val="center"/>
              <w:textAlignment w:val="center"/>
              <w:rPr>
                <w:rFonts w:ascii="宋体" w:hAnsi="宋体" w:cs="宋体"/>
                <w:color w:val="000000"/>
                <w:szCs w:val="21"/>
              </w:rPr>
            </w:pPr>
            <w:r>
              <w:t>102</w:t>
            </w:r>
          </w:p>
        </w:tc>
        <w:tc>
          <w:tcPr>
            <w:tcW w:w="1275" w:type="dxa"/>
            <w:tcBorders>
              <w:top w:val="nil"/>
              <w:left w:val="nil"/>
              <w:bottom w:val="single" w:color="000000" w:sz="8" w:space="0"/>
              <w:right w:val="single" w:color="000000" w:sz="8" w:space="0"/>
            </w:tcBorders>
            <w:shd w:val="clear" w:color="auto" w:fill="auto"/>
          </w:tcPr>
          <w:p>
            <w:pPr>
              <w:widowControl/>
              <w:jc w:val="center"/>
              <w:textAlignment w:val="center"/>
              <w:rPr>
                <w:rFonts w:ascii="宋体" w:hAnsi="宋体" w:cs="宋体"/>
                <w:color w:val="FF0000"/>
                <w:szCs w:val="21"/>
              </w:rPr>
            </w:pPr>
            <w:r>
              <w:rPr>
                <w:color w:val="FF0000"/>
              </w:rPr>
              <w:t>3.54%</w:t>
            </w:r>
          </w:p>
        </w:tc>
        <w:tc>
          <w:tcPr>
            <w:tcW w:w="1275" w:type="dxa"/>
            <w:tcBorders>
              <w:top w:val="nil"/>
              <w:left w:val="nil"/>
              <w:bottom w:val="single" w:color="000000" w:sz="8" w:space="0"/>
              <w:right w:val="single" w:color="000000" w:sz="8" w:space="0"/>
            </w:tcBorders>
            <w:shd w:val="clear" w:color="auto" w:fill="auto"/>
          </w:tcPr>
          <w:p>
            <w:pPr>
              <w:widowControl/>
              <w:jc w:val="center"/>
              <w:textAlignment w:val="center"/>
              <w:rPr>
                <w:rFonts w:ascii="宋体" w:hAnsi="宋体" w:cs="宋体"/>
                <w:color w:val="000000"/>
                <w:szCs w:val="21"/>
              </w:rPr>
            </w:pPr>
            <w:r>
              <w:t>6</w:t>
            </w:r>
          </w:p>
        </w:tc>
        <w:tc>
          <w:tcPr>
            <w:tcW w:w="1275" w:type="dxa"/>
            <w:tcBorders>
              <w:top w:val="nil"/>
              <w:left w:val="nil"/>
              <w:bottom w:val="single" w:color="000000" w:sz="8" w:space="0"/>
              <w:right w:val="single" w:color="000000" w:sz="8" w:space="0"/>
            </w:tcBorders>
            <w:shd w:val="clear" w:color="auto" w:fill="auto"/>
          </w:tcPr>
          <w:p>
            <w:pPr>
              <w:widowControl/>
              <w:jc w:val="center"/>
              <w:textAlignment w:val="center"/>
              <w:rPr>
                <w:rFonts w:ascii="宋体" w:hAnsi="宋体" w:cs="宋体"/>
                <w:color w:val="FF0000"/>
                <w:szCs w:val="21"/>
              </w:rPr>
            </w:pPr>
            <w:r>
              <w:rPr>
                <w:color w:val="FF0000"/>
              </w:rPr>
              <w:t>0.21%</w:t>
            </w:r>
          </w:p>
        </w:tc>
      </w:tr>
      <w:tr>
        <w:tblPrEx>
          <w:tblCellMar>
            <w:top w:w="0" w:type="dxa"/>
            <w:left w:w="108" w:type="dxa"/>
            <w:bottom w:w="0" w:type="dxa"/>
            <w:right w:w="108" w:type="dxa"/>
          </w:tblCellMar>
        </w:tblPrEx>
        <w:trPr>
          <w:trHeight w:val="443"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专业选修课程</w:t>
            </w:r>
          </w:p>
        </w:tc>
        <w:tc>
          <w:tcPr>
            <w:tcW w:w="1275" w:type="dxa"/>
            <w:tcBorders>
              <w:top w:val="nil"/>
              <w:left w:val="nil"/>
              <w:bottom w:val="single" w:color="000000" w:sz="8" w:space="0"/>
              <w:right w:val="single" w:color="000000" w:sz="8" w:space="0"/>
            </w:tcBorders>
            <w:shd w:val="clear" w:color="auto" w:fill="auto"/>
          </w:tcPr>
          <w:p>
            <w:pPr>
              <w:widowControl/>
              <w:jc w:val="center"/>
              <w:textAlignment w:val="center"/>
              <w:rPr>
                <w:rFonts w:ascii="宋体" w:hAnsi="宋体" w:cs="宋体"/>
                <w:color w:val="000000"/>
                <w:szCs w:val="21"/>
              </w:rPr>
            </w:pPr>
            <w:r>
              <w:t>192</w:t>
            </w:r>
          </w:p>
        </w:tc>
        <w:tc>
          <w:tcPr>
            <w:tcW w:w="1275" w:type="dxa"/>
            <w:tcBorders>
              <w:top w:val="nil"/>
              <w:left w:val="nil"/>
              <w:bottom w:val="single" w:color="000000" w:sz="8" w:space="0"/>
              <w:right w:val="single" w:color="000000" w:sz="8" w:space="0"/>
            </w:tcBorders>
            <w:shd w:val="clear" w:color="auto" w:fill="auto"/>
          </w:tcPr>
          <w:p>
            <w:pPr>
              <w:widowControl/>
              <w:jc w:val="center"/>
              <w:textAlignment w:val="center"/>
              <w:rPr>
                <w:rFonts w:ascii="宋体" w:hAnsi="宋体" w:cs="宋体"/>
                <w:color w:val="FF0000"/>
                <w:szCs w:val="21"/>
              </w:rPr>
            </w:pPr>
            <w:r>
              <w:rPr>
                <w:color w:val="FF0000"/>
              </w:rPr>
              <w:t>6.67%</w:t>
            </w:r>
          </w:p>
        </w:tc>
        <w:tc>
          <w:tcPr>
            <w:tcW w:w="1275" w:type="dxa"/>
            <w:tcBorders>
              <w:top w:val="nil"/>
              <w:left w:val="nil"/>
              <w:bottom w:val="single" w:color="000000" w:sz="8" w:space="0"/>
              <w:right w:val="single" w:color="000000" w:sz="8" w:space="0"/>
            </w:tcBorders>
            <w:shd w:val="clear" w:color="auto" w:fill="auto"/>
          </w:tcPr>
          <w:p>
            <w:pPr>
              <w:widowControl/>
              <w:jc w:val="center"/>
              <w:textAlignment w:val="center"/>
              <w:rPr>
                <w:rFonts w:ascii="宋体" w:hAnsi="宋体" w:cs="宋体"/>
                <w:color w:val="000000"/>
                <w:szCs w:val="21"/>
              </w:rPr>
            </w:pPr>
            <w:r>
              <w:t>120</w:t>
            </w:r>
          </w:p>
        </w:tc>
        <w:tc>
          <w:tcPr>
            <w:tcW w:w="1275" w:type="dxa"/>
            <w:tcBorders>
              <w:top w:val="nil"/>
              <w:left w:val="nil"/>
              <w:bottom w:val="single" w:color="000000" w:sz="8" w:space="0"/>
              <w:right w:val="single" w:color="000000" w:sz="8" w:space="0"/>
            </w:tcBorders>
            <w:shd w:val="clear" w:color="auto" w:fill="auto"/>
          </w:tcPr>
          <w:p>
            <w:pPr>
              <w:widowControl/>
              <w:jc w:val="center"/>
              <w:textAlignment w:val="center"/>
              <w:rPr>
                <w:rFonts w:ascii="宋体" w:hAnsi="宋体" w:cs="宋体"/>
                <w:color w:val="FF0000"/>
                <w:szCs w:val="21"/>
              </w:rPr>
            </w:pPr>
            <w:r>
              <w:rPr>
                <w:color w:val="FF0000"/>
              </w:rPr>
              <w:t>4.17%</w:t>
            </w:r>
          </w:p>
        </w:tc>
        <w:tc>
          <w:tcPr>
            <w:tcW w:w="1275" w:type="dxa"/>
            <w:tcBorders>
              <w:top w:val="nil"/>
              <w:left w:val="nil"/>
              <w:bottom w:val="single" w:color="000000" w:sz="8" w:space="0"/>
              <w:right w:val="single" w:color="000000" w:sz="8" w:space="0"/>
            </w:tcBorders>
            <w:shd w:val="clear" w:color="auto" w:fill="auto"/>
          </w:tcPr>
          <w:p>
            <w:pPr>
              <w:widowControl/>
              <w:jc w:val="center"/>
              <w:textAlignment w:val="center"/>
              <w:rPr>
                <w:rFonts w:ascii="宋体" w:hAnsi="宋体" w:cs="宋体"/>
                <w:color w:val="000000"/>
                <w:szCs w:val="21"/>
              </w:rPr>
            </w:pPr>
            <w:r>
              <w:t>72</w:t>
            </w:r>
          </w:p>
        </w:tc>
        <w:tc>
          <w:tcPr>
            <w:tcW w:w="1275" w:type="dxa"/>
            <w:tcBorders>
              <w:top w:val="nil"/>
              <w:left w:val="nil"/>
              <w:bottom w:val="single" w:color="000000" w:sz="8" w:space="0"/>
              <w:right w:val="single" w:color="000000" w:sz="8" w:space="0"/>
            </w:tcBorders>
            <w:shd w:val="clear" w:color="auto" w:fill="auto"/>
          </w:tcPr>
          <w:p>
            <w:pPr>
              <w:widowControl/>
              <w:jc w:val="center"/>
              <w:textAlignment w:val="center"/>
              <w:rPr>
                <w:rFonts w:ascii="宋体" w:hAnsi="宋体" w:cs="宋体"/>
                <w:color w:val="FF0000"/>
                <w:szCs w:val="21"/>
              </w:rPr>
            </w:pPr>
            <w:r>
              <w:rPr>
                <w:color w:val="FF0000"/>
              </w:rPr>
              <w:t>2.50%</w:t>
            </w:r>
          </w:p>
        </w:tc>
      </w:tr>
      <w:tr>
        <w:tblPrEx>
          <w:tblCellMar>
            <w:top w:w="0" w:type="dxa"/>
            <w:left w:w="108" w:type="dxa"/>
            <w:bottom w:w="0" w:type="dxa"/>
            <w:right w:w="108" w:type="dxa"/>
          </w:tblCellMar>
        </w:tblPrEx>
        <w:trPr>
          <w:trHeight w:val="443"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选修课程小计</w:t>
            </w:r>
          </w:p>
        </w:tc>
        <w:tc>
          <w:tcPr>
            <w:tcW w:w="1275" w:type="dxa"/>
            <w:tcBorders>
              <w:top w:val="nil"/>
              <w:left w:val="nil"/>
              <w:bottom w:val="single" w:color="000000" w:sz="8" w:space="0"/>
              <w:right w:val="single" w:color="000000" w:sz="8" w:space="0"/>
            </w:tcBorders>
            <w:shd w:val="clear" w:color="auto" w:fill="auto"/>
          </w:tcPr>
          <w:p>
            <w:pPr>
              <w:widowControl/>
              <w:jc w:val="center"/>
              <w:textAlignment w:val="center"/>
              <w:rPr>
                <w:rFonts w:ascii="宋体" w:hAnsi="宋体" w:cs="宋体"/>
                <w:color w:val="000000"/>
                <w:szCs w:val="21"/>
              </w:rPr>
            </w:pPr>
            <w:r>
              <w:t>300</w:t>
            </w:r>
          </w:p>
        </w:tc>
        <w:tc>
          <w:tcPr>
            <w:tcW w:w="1275" w:type="dxa"/>
            <w:tcBorders>
              <w:top w:val="nil"/>
              <w:left w:val="nil"/>
              <w:bottom w:val="single" w:color="000000" w:sz="8" w:space="0"/>
              <w:right w:val="single" w:color="000000" w:sz="8" w:space="0"/>
            </w:tcBorders>
            <w:shd w:val="clear" w:color="auto" w:fill="auto"/>
          </w:tcPr>
          <w:p>
            <w:pPr>
              <w:widowControl/>
              <w:jc w:val="center"/>
              <w:textAlignment w:val="center"/>
              <w:rPr>
                <w:rFonts w:ascii="宋体" w:hAnsi="宋体" w:cs="宋体"/>
                <w:b/>
                <w:bCs/>
                <w:color w:val="FF0000"/>
                <w:szCs w:val="21"/>
              </w:rPr>
            </w:pPr>
            <w:r>
              <w:rPr>
                <w:color w:val="FF0000"/>
              </w:rPr>
              <w:t>10.42%</w:t>
            </w:r>
          </w:p>
        </w:tc>
        <w:tc>
          <w:tcPr>
            <w:tcW w:w="1275" w:type="dxa"/>
            <w:tcBorders>
              <w:top w:val="nil"/>
              <w:left w:val="nil"/>
              <w:bottom w:val="single" w:color="000000" w:sz="8" w:space="0"/>
              <w:right w:val="single" w:color="000000" w:sz="8" w:space="0"/>
            </w:tcBorders>
            <w:shd w:val="clear" w:color="auto" w:fill="auto"/>
          </w:tcPr>
          <w:p>
            <w:pPr>
              <w:widowControl/>
              <w:jc w:val="center"/>
              <w:textAlignment w:val="center"/>
              <w:rPr>
                <w:rFonts w:ascii="宋体" w:hAnsi="宋体" w:cs="宋体"/>
                <w:color w:val="000000"/>
                <w:szCs w:val="21"/>
              </w:rPr>
            </w:pPr>
            <w:r>
              <w:t>222</w:t>
            </w:r>
          </w:p>
        </w:tc>
        <w:tc>
          <w:tcPr>
            <w:tcW w:w="1275" w:type="dxa"/>
            <w:tcBorders>
              <w:top w:val="nil"/>
              <w:left w:val="nil"/>
              <w:bottom w:val="single" w:color="000000" w:sz="8" w:space="0"/>
              <w:right w:val="single" w:color="000000" w:sz="8" w:space="0"/>
            </w:tcBorders>
            <w:shd w:val="clear" w:color="auto" w:fill="auto"/>
          </w:tcPr>
          <w:p>
            <w:pPr>
              <w:widowControl/>
              <w:jc w:val="center"/>
              <w:textAlignment w:val="center"/>
              <w:rPr>
                <w:rFonts w:ascii="宋体" w:hAnsi="宋体" w:cs="宋体"/>
                <w:color w:val="FF0000"/>
                <w:szCs w:val="21"/>
              </w:rPr>
            </w:pPr>
            <w:r>
              <w:rPr>
                <w:color w:val="FF0000"/>
              </w:rPr>
              <w:t>7.71%</w:t>
            </w:r>
          </w:p>
        </w:tc>
        <w:tc>
          <w:tcPr>
            <w:tcW w:w="1275" w:type="dxa"/>
            <w:tcBorders>
              <w:top w:val="nil"/>
              <w:left w:val="nil"/>
              <w:bottom w:val="single" w:color="000000" w:sz="8" w:space="0"/>
              <w:right w:val="single" w:color="000000" w:sz="8" w:space="0"/>
            </w:tcBorders>
            <w:shd w:val="clear" w:color="auto" w:fill="auto"/>
          </w:tcPr>
          <w:p>
            <w:pPr>
              <w:widowControl/>
              <w:jc w:val="center"/>
              <w:textAlignment w:val="center"/>
              <w:rPr>
                <w:rFonts w:ascii="宋体" w:hAnsi="宋体" w:cs="宋体"/>
                <w:color w:val="000000"/>
                <w:szCs w:val="21"/>
              </w:rPr>
            </w:pPr>
            <w:r>
              <w:t>78</w:t>
            </w:r>
          </w:p>
        </w:tc>
        <w:tc>
          <w:tcPr>
            <w:tcW w:w="1275" w:type="dxa"/>
            <w:tcBorders>
              <w:top w:val="nil"/>
              <w:left w:val="nil"/>
              <w:bottom w:val="single" w:color="000000" w:sz="8" w:space="0"/>
              <w:right w:val="single" w:color="000000" w:sz="8" w:space="0"/>
            </w:tcBorders>
            <w:shd w:val="clear" w:color="auto" w:fill="auto"/>
          </w:tcPr>
          <w:p>
            <w:pPr>
              <w:widowControl/>
              <w:jc w:val="center"/>
              <w:textAlignment w:val="center"/>
              <w:rPr>
                <w:rFonts w:ascii="宋体" w:hAnsi="宋体" w:cs="宋体"/>
                <w:color w:val="FF0000"/>
                <w:szCs w:val="21"/>
              </w:rPr>
            </w:pPr>
            <w:r>
              <w:rPr>
                <w:color w:val="FF0000"/>
              </w:rPr>
              <w:t>2.71%</w:t>
            </w:r>
          </w:p>
        </w:tc>
      </w:tr>
      <w:tr>
        <w:tblPrEx>
          <w:tblCellMar>
            <w:top w:w="0" w:type="dxa"/>
            <w:left w:w="108" w:type="dxa"/>
            <w:bottom w:w="0" w:type="dxa"/>
            <w:right w:w="108" w:type="dxa"/>
          </w:tblCellMar>
        </w:tblPrEx>
        <w:trPr>
          <w:trHeight w:val="48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合</w:t>
            </w:r>
            <w:r>
              <w:rPr>
                <w:rFonts w:ascii="Times New Roman" w:hAnsi="Times New Roman"/>
                <w:color w:val="000000"/>
                <w:kern w:val="0"/>
                <w:szCs w:val="21"/>
                <w:lang w:bidi="ar"/>
              </w:rPr>
              <w:t xml:space="preserve">    </w:t>
            </w:r>
            <w:r>
              <w:rPr>
                <w:rFonts w:hint="eastAsia" w:ascii="宋体" w:hAnsi="宋体" w:cs="宋体"/>
                <w:color w:val="000000"/>
                <w:kern w:val="0"/>
                <w:szCs w:val="21"/>
                <w:lang w:bidi="ar"/>
              </w:rPr>
              <w:t>计</w:t>
            </w:r>
          </w:p>
        </w:tc>
        <w:tc>
          <w:tcPr>
            <w:tcW w:w="1275" w:type="dxa"/>
            <w:tcBorders>
              <w:top w:val="nil"/>
              <w:left w:val="nil"/>
              <w:bottom w:val="single" w:color="000000" w:sz="8" w:space="0"/>
              <w:right w:val="single" w:color="000000" w:sz="8" w:space="0"/>
            </w:tcBorders>
            <w:shd w:val="clear" w:color="auto" w:fill="auto"/>
          </w:tcPr>
          <w:p>
            <w:pPr>
              <w:widowControl/>
              <w:jc w:val="center"/>
              <w:textAlignment w:val="center"/>
              <w:rPr>
                <w:rFonts w:ascii="宋体" w:hAnsi="宋体" w:cs="宋体"/>
                <w:color w:val="FF0000"/>
                <w:szCs w:val="21"/>
              </w:rPr>
            </w:pPr>
            <w:r>
              <w:rPr>
                <w:color w:val="FF0000"/>
              </w:rPr>
              <w:t>2880</w:t>
            </w:r>
          </w:p>
        </w:tc>
        <w:tc>
          <w:tcPr>
            <w:tcW w:w="1275" w:type="dxa"/>
            <w:tcBorders>
              <w:top w:val="nil"/>
              <w:left w:val="nil"/>
              <w:bottom w:val="single" w:color="000000" w:sz="8" w:space="0"/>
              <w:right w:val="single" w:color="000000" w:sz="8" w:space="0"/>
            </w:tcBorders>
            <w:shd w:val="clear" w:color="auto" w:fill="auto"/>
          </w:tcPr>
          <w:p>
            <w:pPr>
              <w:widowControl/>
              <w:jc w:val="center"/>
              <w:textAlignment w:val="center"/>
              <w:rPr>
                <w:rFonts w:ascii="宋体" w:hAnsi="宋体" w:cs="宋体"/>
                <w:color w:val="FF0000"/>
                <w:szCs w:val="21"/>
              </w:rPr>
            </w:pPr>
            <w:r>
              <w:rPr>
                <w:color w:val="FF0000"/>
              </w:rPr>
              <w:t>100.00%</w:t>
            </w:r>
          </w:p>
        </w:tc>
        <w:tc>
          <w:tcPr>
            <w:tcW w:w="1275" w:type="dxa"/>
            <w:tcBorders>
              <w:top w:val="nil"/>
              <w:left w:val="nil"/>
              <w:bottom w:val="single" w:color="000000" w:sz="8" w:space="0"/>
              <w:right w:val="single" w:color="000000" w:sz="8" w:space="0"/>
            </w:tcBorders>
            <w:shd w:val="clear" w:color="auto" w:fill="auto"/>
          </w:tcPr>
          <w:p>
            <w:pPr>
              <w:widowControl/>
              <w:jc w:val="center"/>
              <w:textAlignment w:val="center"/>
              <w:rPr>
                <w:rFonts w:ascii="宋体" w:hAnsi="宋体" w:cs="宋体"/>
                <w:color w:val="FF0000"/>
                <w:szCs w:val="21"/>
              </w:rPr>
            </w:pPr>
            <w:r>
              <w:rPr>
                <w:color w:val="FF0000"/>
              </w:rPr>
              <w:t>1234</w:t>
            </w:r>
          </w:p>
        </w:tc>
        <w:tc>
          <w:tcPr>
            <w:tcW w:w="1275" w:type="dxa"/>
            <w:tcBorders>
              <w:top w:val="nil"/>
              <w:left w:val="nil"/>
              <w:bottom w:val="single" w:color="000000" w:sz="8" w:space="0"/>
              <w:right w:val="single" w:color="000000" w:sz="8" w:space="0"/>
            </w:tcBorders>
            <w:shd w:val="clear" w:color="auto" w:fill="auto"/>
          </w:tcPr>
          <w:p>
            <w:pPr>
              <w:widowControl/>
              <w:jc w:val="center"/>
              <w:textAlignment w:val="center"/>
              <w:rPr>
                <w:rFonts w:ascii="宋体" w:hAnsi="宋体" w:cs="宋体"/>
                <w:color w:val="FF0000"/>
                <w:szCs w:val="21"/>
              </w:rPr>
            </w:pPr>
            <w:r>
              <w:rPr>
                <w:color w:val="FF0000"/>
              </w:rPr>
              <w:t>42.85%</w:t>
            </w:r>
          </w:p>
        </w:tc>
        <w:tc>
          <w:tcPr>
            <w:tcW w:w="1275" w:type="dxa"/>
            <w:tcBorders>
              <w:top w:val="nil"/>
              <w:left w:val="nil"/>
              <w:bottom w:val="single" w:color="000000" w:sz="8" w:space="0"/>
              <w:right w:val="single" w:color="000000" w:sz="8" w:space="0"/>
            </w:tcBorders>
            <w:shd w:val="clear" w:color="auto" w:fill="auto"/>
          </w:tcPr>
          <w:p>
            <w:pPr>
              <w:widowControl/>
              <w:jc w:val="center"/>
              <w:textAlignment w:val="center"/>
              <w:rPr>
                <w:rFonts w:ascii="宋体" w:hAnsi="宋体" w:cs="宋体"/>
                <w:color w:val="FF0000"/>
                <w:szCs w:val="21"/>
              </w:rPr>
            </w:pPr>
            <w:r>
              <w:rPr>
                <w:color w:val="FF0000"/>
              </w:rPr>
              <w:t>1646</w:t>
            </w:r>
          </w:p>
        </w:tc>
        <w:tc>
          <w:tcPr>
            <w:tcW w:w="1275" w:type="dxa"/>
            <w:tcBorders>
              <w:top w:val="nil"/>
              <w:left w:val="nil"/>
              <w:bottom w:val="single" w:color="000000" w:sz="8" w:space="0"/>
              <w:right w:val="single" w:color="000000" w:sz="8" w:space="0"/>
            </w:tcBorders>
            <w:shd w:val="clear" w:color="auto" w:fill="auto"/>
          </w:tcPr>
          <w:p>
            <w:pPr>
              <w:widowControl/>
              <w:jc w:val="center"/>
              <w:textAlignment w:val="center"/>
              <w:rPr>
                <w:rFonts w:ascii="宋体" w:hAnsi="宋体" w:cs="宋体"/>
                <w:b/>
                <w:bCs/>
                <w:color w:val="FF0000"/>
                <w:szCs w:val="21"/>
              </w:rPr>
            </w:pPr>
            <w:r>
              <w:rPr>
                <w:color w:val="FF0000"/>
              </w:rPr>
              <w:t>57.15%</w:t>
            </w:r>
          </w:p>
        </w:tc>
      </w:tr>
    </w:tbl>
    <w:p>
      <w:pPr>
        <w:spacing w:line="360" w:lineRule="auto"/>
        <w:ind w:firstLine="560" w:firstLineChars="200"/>
        <w:rPr>
          <w:rFonts w:ascii="Times New Roman" w:hAnsi="Times New Roman" w:eastAsia="黑体"/>
          <w:sz w:val="28"/>
          <w:szCs w:val="28"/>
        </w:rPr>
      </w:pPr>
    </w:p>
    <w:p>
      <w:pPr>
        <w:spacing w:line="360" w:lineRule="auto"/>
        <w:ind w:firstLine="560" w:firstLineChars="200"/>
        <w:rPr>
          <w:rFonts w:ascii="黑体" w:hAnsi="黑体" w:eastAsia="黑体"/>
          <w:b/>
          <w:bCs/>
          <w:sz w:val="30"/>
          <w:szCs w:val="30"/>
        </w:rPr>
      </w:pPr>
      <w:r>
        <w:rPr>
          <w:rFonts w:hint="eastAsia" w:ascii="Times New Roman" w:hAnsi="Times New Roman" w:eastAsia="黑体"/>
          <w:sz w:val="28"/>
          <w:szCs w:val="28"/>
        </w:rPr>
        <w:t>八</w:t>
      </w:r>
      <w:r>
        <w:rPr>
          <w:rFonts w:ascii="Times New Roman" w:hAnsi="Times New Roman" w:eastAsia="黑体"/>
          <w:sz w:val="28"/>
          <w:szCs w:val="28"/>
        </w:rPr>
        <w:t>、</w:t>
      </w:r>
      <w:r>
        <w:rPr>
          <w:rFonts w:hint="eastAsia" w:ascii="Times New Roman" w:hAnsi="Times New Roman" w:eastAsia="黑体"/>
          <w:sz w:val="28"/>
          <w:szCs w:val="28"/>
        </w:rPr>
        <w:t>实施保障</w:t>
      </w:r>
    </w:p>
    <w:p>
      <w:pPr>
        <w:adjustRightInd w:val="0"/>
        <w:spacing w:line="360" w:lineRule="auto"/>
        <w:ind w:firstLine="480" w:firstLineChars="200"/>
        <w:outlineLvl w:val="2"/>
        <w:rPr>
          <w:rFonts w:ascii="黑体" w:hAnsi="黑体" w:eastAsia="黑体"/>
          <w:sz w:val="24"/>
        </w:rPr>
      </w:pPr>
      <w:r>
        <w:rPr>
          <w:rFonts w:ascii="黑体" w:hAnsi="黑体" w:eastAsia="黑体"/>
          <w:sz w:val="24"/>
        </w:rPr>
        <w:t>（</w:t>
      </w:r>
      <w:r>
        <w:rPr>
          <w:rFonts w:hint="eastAsia" w:ascii="黑体" w:hAnsi="黑体" w:eastAsia="黑体"/>
          <w:sz w:val="24"/>
        </w:rPr>
        <w:t>一</w:t>
      </w:r>
      <w:r>
        <w:rPr>
          <w:rFonts w:ascii="黑体" w:hAnsi="黑体" w:eastAsia="黑体"/>
          <w:sz w:val="24"/>
        </w:rPr>
        <w:t>）师资队伍</w:t>
      </w:r>
    </w:p>
    <w:p>
      <w:pPr>
        <w:spacing w:line="360" w:lineRule="auto"/>
        <w:ind w:firstLine="422" w:firstLineChars="200"/>
        <w:rPr>
          <w:rFonts w:ascii="仿宋" w:hAnsi="仿宋" w:eastAsia="仿宋"/>
          <w:b/>
          <w:szCs w:val="21"/>
        </w:rPr>
      </w:pPr>
      <w:r>
        <w:rPr>
          <w:rFonts w:hint="eastAsia" w:ascii="宋体" w:hAnsi="宋体"/>
          <w:b/>
          <w:szCs w:val="21"/>
        </w:rPr>
        <w:t>1.专业教师任职资格</w:t>
      </w:r>
    </w:p>
    <w:p>
      <w:pPr>
        <w:spacing w:line="360" w:lineRule="auto"/>
        <w:ind w:firstLine="420" w:firstLineChars="200"/>
        <w:rPr>
          <w:rFonts w:ascii="宋体" w:hAnsi="宋体" w:cs="宋体"/>
          <w:szCs w:val="21"/>
        </w:rPr>
      </w:pPr>
      <w:r>
        <w:rPr>
          <w:rFonts w:hint="eastAsia" w:ascii="宋体" w:hAnsi="宋体" w:cs="宋体"/>
          <w:szCs w:val="21"/>
        </w:rPr>
        <w:t>专业教师具有高等职业学校及以上教师资格证书；或具有汽车维修工高级资格证书、汽车维修行业4S店技术主管上岗证书；具备本科及以上学历；职称要求中、高级达到60%，其中高职称教师不少于20%。</w:t>
      </w:r>
    </w:p>
    <w:p>
      <w:pPr>
        <w:spacing w:line="360" w:lineRule="auto"/>
        <w:ind w:firstLine="422" w:firstLineChars="200"/>
        <w:rPr>
          <w:rFonts w:ascii="宋体" w:hAnsi="宋体" w:cs="宋体"/>
          <w:b/>
          <w:szCs w:val="21"/>
        </w:rPr>
      </w:pPr>
      <w:r>
        <w:rPr>
          <w:rFonts w:hint="eastAsia" w:ascii="宋体" w:hAnsi="宋体" w:cs="宋体"/>
          <w:b/>
          <w:szCs w:val="21"/>
        </w:rPr>
        <w:t xml:space="preserve">2.专任教师任职资格 </w:t>
      </w:r>
    </w:p>
    <w:p>
      <w:pPr>
        <w:spacing w:line="360" w:lineRule="auto"/>
        <w:ind w:firstLine="420" w:firstLineChars="200"/>
        <w:rPr>
          <w:rFonts w:ascii="宋体" w:hAnsi="宋体" w:cs="宋体"/>
          <w:szCs w:val="21"/>
        </w:rPr>
      </w:pPr>
      <w:r>
        <w:rPr>
          <w:rFonts w:hint="eastAsia" w:ascii="宋体" w:hAnsi="宋体" w:cs="宋体"/>
          <w:szCs w:val="21"/>
        </w:rPr>
        <w:t>（1）专任教师和实训指导教师应具备一年以上汽修行业实践经历，专业核心技能课程教师应取得中高级服务员资格证书。</w:t>
      </w:r>
    </w:p>
    <w:p>
      <w:pPr>
        <w:spacing w:line="360" w:lineRule="auto"/>
        <w:ind w:firstLine="420" w:firstLineChars="200"/>
        <w:rPr>
          <w:rFonts w:ascii="宋体" w:hAnsi="宋体" w:cs="宋体"/>
          <w:szCs w:val="21"/>
        </w:rPr>
      </w:pPr>
      <w:r>
        <w:rPr>
          <w:rFonts w:hint="eastAsia" w:ascii="宋体" w:hAnsi="宋体" w:cs="宋体"/>
          <w:szCs w:val="21"/>
        </w:rPr>
        <w:t xml:space="preserve">（2）教师要掌握信息现代化教学手段，具备使用或制作多媒体课件进行教学的能力。 </w:t>
      </w:r>
    </w:p>
    <w:p>
      <w:pPr>
        <w:spacing w:line="360" w:lineRule="auto"/>
        <w:ind w:firstLine="420" w:firstLineChars="200"/>
        <w:rPr>
          <w:rFonts w:ascii="宋体" w:hAnsi="宋体" w:cs="宋体"/>
          <w:szCs w:val="21"/>
        </w:rPr>
      </w:pPr>
      <w:r>
        <w:rPr>
          <w:rFonts w:hint="eastAsia" w:ascii="宋体" w:hAnsi="宋体" w:cs="宋体"/>
          <w:szCs w:val="21"/>
        </w:rPr>
        <w:t xml:space="preserve">（3）专任教师(合实训指导教师)应具备对现行教材的筛选、组合能力。 </w:t>
      </w:r>
    </w:p>
    <w:p>
      <w:pPr>
        <w:spacing w:line="360" w:lineRule="auto"/>
        <w:ind w:firstLine="420" w:firstLineChars="200"/>
        <w:rPr>
          <w:rFonts w:ascii="宋体" w:hAnsi="宋体" w:cs="宋体"/>
          <w:szCs w:val="21"/>
        </w:rPr>
      </w:pPr>
      <w:r>
        <w:rPr>
          <w:rFonts w:hint="eastAsia" w:ascii="宋体" w:hAnsi="宋体" w:cs="宋体"/>
          <w:szCs w:val="21"/>
        </w:rPr>
        <w:t>（4）明确专业培养目标，能按照教学大纲的要求科学合理的安排教学内容。</w:t>
      </w:r>
    </w:p>
    <w:p>
      <w:pPr>
        <w:spacing w:line="360" w:lineRule="auto"/>
        <w:ind w:firstLine="420" w:firstLineChars="200"/>
        <w:rPr>
          <w:rFonts w:ascii="宋体" w:hAnsi="宋体" w:cs="宋体"/>
          <w:szCs w:val="21"/>
        </w:rPr>
      </w:pPr>
      <w:r>
        <w:rPr>
          <w:rFonts w:hint="eastAsia" w:ascii="宋体" w:hAnsi="宋体" w:cs="宋体"/>
          <w:szCs w:val="21"/>
        </w:rPr>
        <w:t xml:space="preserve">（5）具备运用灵活多样的教学模式、教学方法进行教学的能力。 </w:t>
      </w:r>
    </w:p>
    <w:p>
      <w:pPr>
        <w:spacing w:line="360" w:lineRule="auto"/>
        <w:ind w:firstLine="420" w:firstLineChars="200"/>
        <w:rPr>
          <w:rFonts w:ascii="宋体" w:hAnsi="宋体" w:cs="宋体"/>
          <w:szCs w:val="21"/>
        </w:rPr>
      </w:pPr>
      <w:r>
        <w:rPr>
          <w:rFonts w:hint="eastAsia" w:ascii="宋体" w:hAnsi="宋体" w:cs="宋体"/>
          <w:szCs w:val="21"/>
        </w:rPr>
        <w:t xml:space="preserve">（6）具有较强的语言表达能力。 </w:t>
      </w:r>
    </w:p>
    <w:p>
      <w:pPr>
        <w:spacing w:line="360" w:lineRule="auto"/>
        <w:ind w:firstLine="420" w:firstLineChars="200"/>
        <w:rPr>
          <w:rFonts w:ascii="宋体" w:hAnsi="宋体" w:cs="宋体"/>
          <w:szCs w:val="21"/>
        </w:rPr>
      </w:pPr>
      <w:r>
        <w:rPr>
          <w:rFonts w:hint="eastAsia" w:ascii="宋体" w:hAnsi="宋体" w:cs="宋体"/>
          <w:szCs w:val="21"/>
        </w:rPr>
        <w:t xml:space="preserve">（7）能够将学生的思想道德教育融入到教学全过程。 </w:t>
      </w:r>
    </w:p>
    <w:p>
      <w:pPr>
        <w:spacing w:line="360" w:lineRule="auto"/>
        <w:ind w:firstLine="420" w:firstLineChars="200"/>
        <w:rPr>
          <w:rFonts w:ascii="宋体" w:hAnsi="宋体" w:cs="宋体"/>
          <w:szCs w:val="21"/>
        </w:rPr>
      </w:pPr>
      <w:r>
        <w:rPr>
          <w:rFonts w:hint="eastAsia" w:ascii="宋体" w:hAnsi="宋体" w:cs="宋体"/>
          <w:szCs w:val="21"/>
        </w:rPr>
        <w:t>（8）专任教师应具备汽修行业挂职工作经历一年以上，对汽修门店各部门运营状况有实际的了解，具备汽车维修检测的实际工作能力。</w:t>
      </w:r>
    </w:p>
    <w:p>
      <w:pPr>
        <w:spacing w:line="360" w:lineRule="auto"/>
        <w:ind w:firstLine="422" w:firstLineChars="200"/>
        <w:rPr>
          <w:rFonts w:ascii="宋体" w:hAnsi="宋体" w:cs="宋体"/>
          <w:b/>
          <w:szCs w:val="21"/>
        </w:rPr>
      </w:pPr>
      <w:r>
        <w:rPr>
          <w:rFonts w:hint="eastAsia" w:ascii="宋体" w:hAnsi="宋体" w:cs="宋体"/>
          <w:b/>
          <w:szCs w:val="21"/>
        </w:rPr>
        <w:t xml:space="preserve">3.兼课教师任职资格 </w:t>
      </w:r>
    </w:p>
    <w:p>
      <w:pPr>
        <w:spacing w:line="360" w:lineRule="auto"/>
        <w:ind w:firstLine="420" w:firstLineChars="200"/>
        <w:rPr>
          <w:rFonts w:ascii="宋体" w:hAnsi="宋体" w:cs="宋体"/>
          <w:szCs w:val="21"/>
        </w:rPr>
      </w:pPr>
      <w:r>
        <w:rPr>
          <w:rFonts w:hint="eastAsia" w:ascii="宋体" w:hAnsi="宋体" w:cs="宋体"/>
          <w:szCs w:val="21"/>
        </w:rPr>
        <w:t xml:space="preserve">（1）兼课教师应具备一年以上汽修行业实践经历，专业核心技能课程教师应取得中高级服务员资格证书。 </w:t>
      </w:r>
    </w:p>
    <w:p>
      <w:pPr>
        <w:spacing w:line="360" w:lineRule="auto"/>
        <w:ind w:firstLine="420" w:firstLineChars="200"/>
        <w:rPr>
          <w:rFonts w:ascii="宋体" w:hAnsi="宋体" w:cs="宋体"/>
          <w:szCs w:val="21"/>
        </w:rPr>
      </w:pPr>
      <w:r>
        <w:rPr>
          <w:rFonts w:hint="eastAsia" w:ascii="宋体" w:hAnsi="宋体" w:cs="宋体"/>
          <w:szCs w:val="21"/>
        </w:rPr>
        <w:t xml:space="preserve">（2）教师要掌握信息现代化教学手段，具备使用或制作多媒体课件进行教学的能力。 </w:t>
      </w:r>
    </w:p>
    <w:p>
      <w:pPr>
        <w:spacing w:line="360" w:lineRule="auto"/>
        <w:ind w:firstLine="420" w:firstLineChars="200"/>
        <w:rPr>
          <w:rFonts w:ascii="宋体" w:hAnsi="宋体" w:cs="宋体"/>
          <w:szCs w:val="21"/>
        </w:rPr>
      </w:pPr>
      <w:r>
        <w:rPr>
          <w:rFonts w:hint="eastAsia" w:ascii="宋体" w:hAnsi="宋体" w:cs="宋体"/>
          <w:szCs w:val="21"/>
        </w:rPr>
        <w:t xml:space="preserve">（3）明确专业培养目标，能按照教学大纲的要求科学合理的安排教学内容。 </w:t>
      </w:r>
    </w:p>
    <w:p>
      <w:pPr>
        <w:spacing w:line="360" w:lineRule="auto"/>
        <w:ind w:firstLine="420" w:firstLineChars="200"/>
        <w:rPr>
          <w:rFonts w:ascii="宋体" w:hAnsi="宋体" w:cs="宋体"/>
          <w:szCs w:val="21"/>
        </w:rPr>
      </w:pPr>
      <w:r>
        <w:rPr>
          <w:rFonts w:hint="eastAsia" w:ascii="宋体" w:hAnsi="宋体" w:cs="宋体"/>
          <w:szCs w:val="21"/>
        </w:rPr>
        <w:t xml:space="preserve">（4）具有较强的语言表达能力。 </w:t>
      </w:r>
    </w:p>
    <w:p>
      <w:pPr>
        <w:spacing w:line="360" w:lineRule="auto"/>
        <w:ind w:firstLine="420" w:firstLineChars="200"/>
        <w:rPr>
          <w:rFonts w:ascii="宋体" w:hAnsi="宋体" w:cs="宋体"/>
          <w:szCs w:val="21"/>
        </w:rPr>
      </w:pPr>
      <w:r>
        <w:rPr>
          <w:rFonts w:hint="eastAsia" w:ascii="宋体" w:hAnsi="宋体" w:cs="宋体"/>
          <w:szCs w:val="21"/>
        </w:rPr>
        <w:t xml:space="preserve">（5）能够将学生的思想道德教育融入到教学全过程。 </w:t>
      </w:r>
    </w:p>
    <w:p>
      <w:pPr>
        <w:spacing w:line="360" w:lineRule="auto"/>
        <w:ind w:firstLine="422" w:firstLineChars="200"/>
        <w:rPr>
          <w:rFonts w:ascii="宋体" w:hAnsi="宋体" w:cs="宋体"/>
          <w:b/>
          <w:szCs w:val="21"/>
        </w:rPr>
      </w:pPr>
      <w:r>
        <w:rPr>
          <w:rFonts w:hint="eastAsia" w:ascii="宋体" w:hAnsi="宋体" w:cs="宋体"/>
          <w:b/>
          <w:szCs w:val="21"/>
        </w:rPr>
        <w:t xml:space="preserve">4.外聘兼职兼课教师任职资格 </w:t>
      </w:r>
    </w:p>
    <w:p>
      <w:pPr>
        <w:spacing w:line="360" w:lineRule="auto"/>
        <w:ind w:firstLine="420" w:firstLineChars="200"/>
        <w:rPr>
          <w:rFonts w:ascii="宋体" w:hAnsi="宋体" w:cs="宋体"/>
          <w:szCs w:val="21"/>
        </w:rPr>
      </w:pPr>
      <w:r>
        <w:rPr>
          <w:rFonts w:hint="eastAsia" w:ascii="宋体" w:hAnsi="宋体" w:cs="宋体"/>
          <w:szCs w:val="21"/>
        </w:rPr>
        <w:t xml:space="preserve">（1）校外兼职教师占专业教师总数30%左右，承担全部学时20%左右教学任务。 </w:t>
      </w:r>
    </w:p>
    <w:p>
      <w:pPr>
        <w:spacing w:line="360" w:lineRule="auto"/>
        <w:ind w:firstLine="420" w:firstLineChars="200"/>
        <w:rPr>
          <w:rFonts w:ascii="宋体" w:hAnsi="宋体" w:cs="宋体"/>
          <w:szCs w:val="21"/>
        </w:rPr>
      </w:pPr>
      <w:r>
        <w:rPr>
          <w:rFonts w:hint="eastAsia" w:ascii="宋体" w:hAnsi="宋体" w:cs="宋体"/>
          <w:szCs w:val="21"/>
        </w:rPr>
        <w:t xml:space="preserve">（2）具有良好的师德，较强的敬业精神，具有一定的教育教学经验，熟悉高等教育的教学方法。 </w:t>
      </w:r>
    </w:p>
    <w:p>
      <w:pPr>
        <w:spacing w:line="360" w:lineRule="auto"/>
        <w:ind w:firstLine="420" w:firstLineChars="200"/>
        <w:rPr>
          <w:rFonts w:ascii="宋体" w:hAnsi="宋体" w:cs="宋体"/>
          <w:szCs w:val="21"/>
        </w:rPr>
      </w:pPr>
      <w:r>
        <w:rPr>
          <w:rFonts w:hint="eastAsia" w:ascii="宋体" w:hAnsi="宋体" w:cs="宋体"/>
          <w:szCs w:val="21"/>
        </w:rPr>
        <w:t xml:space="preserve">（3）具有5年以上本专业工作经历。 </w:t>
      </w:r>
    </w:p>
    <w:p>
      <w:pPr>
        <w:spacing w:line="360" w:lineRule="auto"/>
        <w:ind w:firstLine="420" w:firstLineChars="200"/>
        <w:rPr>
          <w:rFonts w:ascii="宋体" w:hAnsi="宋体" w:cs="宋体"/>
          <w:szCs w:val="21"/>
        </w:rPr>
      </w:pPr>
      <w:r>
        <w:rPr>
          <w:rFonts w:hint="eastAsia" w:ascii="宋体" w:hAnsi="宋体" w:cs="宋体"/>
          <w:szCs w:val="21"/>
        </w:rPr>
        <w:t xml:space="preserve">（4）具有中级(含)专业技术职称或硕士(含)以上学位或大中型企业中层以上管理人员，专业知识水平较高。 </w:t>
      </w:r>
    </w:p>
    <w:p>
      <w:pPr>
        <w:spacing w:line="360" w:lineRule="auto"/>
        <w:ind w:firstLine="420" w:firstLineChars="200"/>
        <w:rPr>
          <w:rFonts w:ascii="宋体" w:hAnsi="宋体" w:cs="宋体"/>
          <w:szCs w:val="21"/>
        </w:rPr>
      </w:pPr>
      <w:r>
        <w:rPr>
          <w:rFonts w:hint="eastAsia" w:ascii="宋体" w:hAnsi="宋体" w:cs="宋体"/>
          <w:szCs w:val="21"/>
        </w:rPr>
        <w:t xml:space="preserve">（5）具有较强的语言表达能力和课堂组织能力。 </w:t>
      </w:r>
    </w:p>
    <w:p>
      <w:pPr>
        <w:spacing w:line="360" w:lineRule="auto"/>
        <w:ind w:firstLine="420" w:firstLineChars="200"/>
        <w:rPr>
          <w:rFonts w:ascii="宋体" w:hAnsi="宋体" w:cs="宋体"/>
          <w:szCs w:val="21"/>
        </w:rPr>
      </w:pPr>
      <w:r>
        <w:rPr>
          <w:rFonts w:hint="eastAsia" w:ascii="宋体" w:hAnsi="宋体" w:cs="宋体"/>
          <w:szCs w:val="21"/>
        </w:rPr>
        <w:t xml:space="preserve">（6）具有完成课堂讲授、实习指导、论文指导等教学任务的充沛精力和充足时间。 </w:t>
      </w:r>
    </w:p>
    <w:p>
      <w:pPr>
        <w:adjustRightInd w:val="0"/>
        <w:spacing w:line="360" w:lineRule="auto"/>
        <w:ind w:firstLine="480" w:firstLineChars="200"/>
        <w:outlineLvl w:val="2"/>
        <w:rPr>
          <w:rFonts w:ascii="黑体" w:hAnsi="黑体" w:eastAsia="黑体"/>
          <w:b/>
          <w:bCs/>
          <w:sz w:val="28"/>
          <w:szCs w:val="28"/>
        </w:rPr>
      </w:pPr>
      <w:r>
        <w:rPr>
          <w:rFonts w:hint="eastAsia" w:ascii="黑体" w:hAnsi="黑体" w:eastAsia="黑体"/>
          <w:sz w:val="24"/>
        </w:rPr>
        <w:t>（二）</w:t>
      </w:r>
      <w:r>
        <w:rPr>
          <w:rFonts w:ascii="黑体" w:hAnsi="黑体" w:eastAsia="黑体"/>
          <w:sz w:val="24"/>
        </w:rPr>
        <w:t>教学设施</w:t>
      </w:r>
      <w:r>
        <w:rPr>
          <w:rFonts w:hint="eastAsia" w:ascii="黑体" w:hAnsi="黑体" w:eastAsia="黑体"/>
          <w:b/>
          <w:bCs/>
          <w:sz w:val="28"/>
          <w:szCs w:val="28"/>
        </w:rPr>
        <w:t xml:space="preserve"> </w:t>
      </w:r>
    </w:p>
    <w:p>
      <w:pPr>
        <w:spacing w:line="360" w:lineRule="auto"/>
        <w:ind w:firstLine="422" w:firstLineChars="200"/>
        <w:rPr>
          <w:rFonts w:ascii="宋体" w:hAnsi="宋体"/>
          <w:b/>
          <w:szCs w:val="21"/>
        </w:rPr>
      </w:pPr>
      <w:r>
        <w:rPr>
          <w:rFonts w:hint="eastAsia" w:ascii="宋体" w:hAnsi="宋体"/>
          <w:b/>
          <w:szCs w:val="21"/>
        </w:rPr>
        <w:t xml:space="preserve">1.校内外实训条件 </w:t>
      </w:r>
    </w:p>
    <w:p>
      <w:pPr>
        <w:spacing w:line="360" w:lineRule="auto"/>
        <w:ind w:firstLine="420" w:firstLineChars="200"/>
        <w:rPr>
          <w:rFonts w:ascii="宋体" w:hAnsi="宋体" w:cs="宋体"/>
          <w:szCs w:val="21"/>
        </w:rPr>
      </w:pPr>
      <w:r>
        <w:rPr>
          <w:rFonts w:hint="eastAsia" w:ascii="宋体" w:hAnsi="宋体" w:cs="宋体"/>
          <w:szCs w:val="21"/>
        </w:rPr>
        <w:t xml:space="preserve">汽车检测与维修技术专业的具有计算机实训中心、汽车检测维修中心，内设多个实践区与教学区，能满足汽车检测与维修技术专业各种教学和实习。 </w:t>
      </w:r>
    </w:p>
    <w:p>
      <w:pPr>
        <w:spacing w:line="360" w:lineRule="auto"/>
        <w:ind w:firstLine="420" w:firstLineChars="200"/>
        <w:rPr>
          <w:rFonts w:ascii="宋体" w:hAnsi="宋体" w:cs="宋体"/>
          <w:szCs w:val="21"/>
        </w:rPr>
      </w:pPr>
      <w:r>
        <w:rPr>
          <w:rFonts w:hint="eastAsia" w:ascii="宋体" w:hAnsi="宋体" w:cs="宋体"/>
          <w:szCs w:val="21"/>
        </w:rPr>
        <w:t>（1）发动机拆装与检修实训室</w:t>
      </w:r>
    </w:p>
    <w:p>
      <w:pPr>
        <w:spacing w:line="360" w:lineRule="auto"/>
        <w:ind w:firstLine="420" w:firstLineChars="200"/>
        <w:rPr>
          <w:rFonts w:ascii="宋体" w:hAnsi="宋体" w:cs="宋体"/>
          <w:szCs w:val="21"/>
        </w:rPr>
      </w:pPr>
      <w:r>
        <w:rPr>
          <w:rFonts w:hint="eastAsia" w:ascii="宋体" w:hAnsi="宋体" w:cs="宋体"/>
          <w:szCs w:val="21"/>
        </w:rPr>
        <w:t xml:space="preserve">学生在本实训室内可进行发动机机械部分的拆装与检测实训。 </w:t>
      </w:r>
    </w:p>
    <w:p>
      <w:pPr>
        <w:spacing w:line="360" w:lineRule="auto"/>
        <w:ind w:firstLine="420" w:firstLineChars="200"/>
        <w:rPr>
          <w:rFonts w:ascii="宋体" w:hAnsi="宋体" w:cs="宋体"/>
          <w:szCs w:val="21"/>
        </w:rPr>
      </w:pPr>
      <w:r>
        <w:rPr>
          <w:rFonts w:hint="eastAsia" w:ascii="宋体" w:hAnsi="宋体" w:cs="宋体"/>
          <w:szCs w:val="21"/>
        </w:rPr>
        <w:t>（2）汽车底盘拆装与检修实训室</w:t>
      </w:r>
    </w:p>
    <w:p>
      <w:pPr>
        <w:spacing w:line="360" w:lineRule="auto"/>
        <w:ind w:firstLine="420" w:firstLineChars="200"/>
        <w:rPr>
          <w:rFonts w:ascii="宋体" w:hAnsi="宋体" w:cs="宋体"/>
          <w:szCs w:val="21"/>
        </w:rPr>
      </w:pPr>
      <w:r>
        <w:rPr>
          <w:rFonts w:hint="eastAsia" w:ascii="宋体" w:hAnsi="宋体" w:cs="宋体"/>
          <w:szCs w:val="21"/>
        </w:rPr>
        <w:t xml:space="preserve">学生在本实训室进可进行汽车底盘各系统的拆装与检测实训。 </w:t>
      </w:r>
    </w:p>
    <w:p>
      <w:pPr>
        <w:spacing w:line="360" w:lineRule="auto"/>
        <w:ind w:firstLine="420" w:firstLineChars="200"/>
        <w:rPr>
          <w:rFonts w:ascii="宋体" w:hAnsi="宋体" w:cs="宋体"/>
          <w:szCs w:val="21"/>
        </w:rPr>
      </w:pPr>
      <w:r>
        <w:rPr>
          <w:rFonts w:hint="eastAsia" w:ascii="宋体" w:hAnsi="宋体" w:cs="宋体"/>
          <w:szCs w:val="21"/>
        </w:rPr>
        <w:t>（3）汽车车身电器实训室</w:t>
      </w:r>
    </w:p>
    <w:p>
      <w:pPr>
        <w:spacing w:line="360" w:lineRule="auto"/>
        <w:ind w:firstLine="420" w:firstLineChars="200"/>
        <w:rPr>
          <w:rFonts w:ascii="宋体" w:hAnsi="宋体" w:cs="宋体"/>
          <w:szCs w:val="21"/>
        </w:rPr>
      </w:pPr>
      <w:r>
        <w:rPr>
          <w:rFonts w:hint="eastAsia" w:ascii="宋体" w:hAnsi="宋体" w:cs="宋体"/>
          <w:szCs w:val="21"/>
        </w:rPr>
        <w:t xml:space="preserve">学生在本实训室可对汽车电气设备进行检修实训。 </w:t>
      </w:r>
    </w:p>
    <w:p>
      <w:pPr>
        <w:spacing w:line="360" w:lineRule="auto"/>
        <w:ind w:firstLine="420" w:firstLineChars="200"/>
        <w:rPr>
          <w:rFonts w:ascii="宋体" w:hAnsi="宋体" w:cs="宋体"/>
          <w:szCs w:val="21"/>
        </w:rPr>
      </w:pPr>
      <w:r>
        <w:rPr>
          <w:rFonts w:hint="eastAsia" w:ascii="宋体" w:hAnsi="宋体" w:cs="宋体"/>
          <w:szCs w:val="21"/>
        </w:rPr>
        <w:t>（4）汽车电控检测实训室</w:t>
      </w:r>
    </w:p>
    <w:p>
      <w:pPr>
        <w:spacing w:line="360" w:lineRule="auto"/>
        <w:ind w:firstLine="420" w:firstLineChars="200"/>
        <w:rPr>
          <w:rFonts w:ascii="宋体" w:hAnsi="宋体" w:cs="宋体"/>
          <w:szCs w:val="21"/>
        </w:rPr>
      </w:pPr>
      <w:r>
        <w:rPr>
          <w:rFonts w:hint="eastAsia" w:ascii="宋体" w:hAnsi="宋体" w:cs="宋体"/>
          <w:szCs w:val="21"/>
        </w:rPr>
        <w:t xml:space="preserve">学生在本实训室可进行汽车电控元件的检测与故障检修。 </w:t>
      </w:r>
    </w:p>
    <w:p>
      <w:pPr>
        <w:spacing w:line="360" w:lineRule="auto"/>
        <w:ind w:firstLine="420" w:firstLineChars="200"/>
        <w:rPr>
          <w:rFonts w:ascii="宋体" w:hAnsi="宋体" w:cs="宋体"/>
          <w:szCs w:val="21"/>
        </w:rPr>
      </w:pPr>
      <w:r>
        <w:rPr>
          <w:rFonts w:hint="eastAsia" w:ascii="宋体" w:hAnsi="宋体" w:cs="宋体"/>
          <w:szCs w:val="21"/>
        </w:rPr>
        <w:t>（5）校外实习基地</w:t>
      </w:r>
    </w:p>
    <w:p>
      <w:pPr>
        <w:spacing w:line="360" w:lineRule="auto"/>
        <w:ind w:firstLine="420" w:firstLineChars="200"/>
        <w:rPr>
          <w:rFonts w:ascii="宋体" w:hAnsi="宋体" w:cs="宋体"/>
          <w:szCs w:val="21"/>
        </w:rPr>
      </w:pPr>
      <w:r>
        <w:rPr>
          <w:rFonts w:hint="eastAsia" w:ascii="宋体" w:hAnsi="宋体" w:cs="宋体"/>
          <w:szCs w:val="21"/>
        </w:rPr>
        <w:t>建立相对稳定的校外实习基地，满足技能实训、生产实习与顶岗（跟岗）实习等实践教学要求。在学校所在地按照单项技术与综合实训基地相兼顾的方针，重点与汽车专项技术维修站、4S店、汽车制造企业建立了广泛而稳固的实习基本关系，并在全省各主要生源地汽车销售、服务、制造企业建立“生源地”校外实训基地，使学生单项技术实训、顶岗实训与就业紧密结合，实现校企“共建、共用、共育、互惠”，共同发展。</w:t>
      </w:r>
    </w:p>
    <w:p>
      <w:pPr>
        <w:spacing w:line="360" w:lineRule="auto"/>
        <w:ind w:firstLine="420" w:firstLineChars="200"/>
        <w:rPr>
          <w:rFonts w:ascii="宋体" w:hAnsi="宋体" w:cs="宋体"/>
          <w:szCs w:val="21"/>
        </w:rPr>
      </w:pPr>
      <w:r>
        <w:rPr>
          <w:rFonts w:hint="eastAsia" w:ascii="宋体" w:hAnsi="宋体" w:cs="宋体"/>
          <w:szCs w:val="21"/>
        </w:rPr>
        <w:t xml:space="preserve">完善校外实训基地制度建设、教学环境建设，加强实训基地指导教师的理论培训，提高基地指导教师的教学水平，建成集教学、培训、技能鉴定、技术开发、社会服务等“五位一体”、资源共享的校外生产性实训基地。。 </w:t>
      </w:r>
    </w:p>
    <w:p>
      <w:pPr>
        <w:pStyle w:val="2"/>
        <w:spacing w:line="360" w:lineRule="auto"/>
        <w:ind w:left="0" w:leftChars="0" w:firstLine="420" w:firstLineChars="200"/>
        <w:rPr>
          <w:rFonts w:ascii="宋体" w:hAnsi="宋体"/>
          <w:szCs w:val="21"/>
        </w:rPr>
      </w:pPr>
      <w:r>
        <w:rPr>
          <w:rFonts w:hint="eastAsia" w:ascii="宋体" w:hAnsi="宋体" w:cs="宋体"/>
          <w:szCs w:val="21"/>
        </w:rPr>
        <w:t>目前汽车检测与维修技术专业已在粤西地区、珠三角地区、广西东盟经济区等区域的多个城市建立十多个校外实习基地，学生每年都可以在合作企业开展单独设置的专业实习和顶岗实习，职业能力和职业素养得到大幅度提高。</w:t>
      </w:r>
      <w:r>
        <w:rPr>
          <w:rFonts w:hint="eastAsia" w:ascii="宋体" w:hAnsi="宋体" w:cs="宋体"/>
          <w:kern w:val="0"/>
          <w:szCs w:val="21"/>
        </w:rPr>
        <w:t>本专业</w:t>
      </w:r>
      <w:r>
        <w:rPr>
          <w:rFonts w:hint="eastAsia" w:ascii="宋体" w:hAnsi="宋体"/>
          <w:szCs w:val="21"/>
        </w:rPr>
        <w:t>校外实习（实训）基地见表九。</w:t>
      </w:r>
    </w:p>
    <w:p>
      <w:pPr>
        <w:spacing w:line="360" w:lineRule="auto"/>
        <w:jc w:val="center"/>
        <w:rPr>
          <w:rFonts w:ascii="宋体" w:hAnsi="宋体"/>
        </w:rPr>
      </w:pPr>
      <w:r>
        <w:rPr>
          <w:rFonts w:hint="eastAsia" w:ascii="宋体" w:hAnsi="宋体"/>
        </w:rPr>
        <w:t>表九 汽车检测与维修技术专业校外实习（实训）基地表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722"/>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宋体" w:hAnsi="宋体" w:cs="宋体"/>
                <w:b/>
                <w:szCs w:val="21"/>
              </w:rPr>
            </w:pPr>
            <w:r>
              <w:rPr>
                <w:rFonts w:hint="eastAsia" w:ascii="宋体" w:hAnsi="宋体" w:cs="宋体"/>
                <w:b/>
                <w:szCs w:val="21"/>
              </w:rPr>
              <w:t>序号</w:t>
            </w:r>
          </w:p>
        </w:tc>
        <w:tc>
          <w:tcPr>
            <w:tcW w:w="4722" w:type="dxa"/>
            <w:vAlign w:val="center"/>
          </w:tcPr>
          <w:p>
            <w:pPr>
              <w:jc w:val="center"/>
              <w:rPr>
                <w:rFonts w:ascii="宋体" w:hAnsi="宋体" w:cs="宋体"/>
                <w:b/>
                <w:szCs w:val="21"/>
              </w:rPr>
            </w:pPr>
            <w:r>
              <w:rPr>
                <w:rFonts w:hint="eastAsia" w:ascii="宋体" w:hAnsi="宋体" w:cs="宋体"/>
                <w:b/>
                <w:szCs w:val="21"/>
              </w:rPr>
              <w:t>合作企业</w:t>
            </w:r>
          </w:p>
        </w:tc>
        <w:tc>
          <w:tcPr>
            <w:tcW w:w="2841" w:type="dxa"/>
            <w:vAlign w:val="center"/>
          </w:tcPr>
          <w:p>
            <w:pPr>
              <w:jc w:val="center"/>
              <w:rPr>
                <w:rFonts w:ascii="宋体" w:hAnsi="宋体" w:cs="宋体"/>
                <w:b/>
                <w:szCs w:val="21"/>
              </w:rPr>
            </w:pPr>
            <w:r>
              <w:rPr>
                <w:rFonts w:hint="eastAsia" w:ascii="宋体" w:hAnsi="宋体" w:cs="宋体"/>
                <w:b/>
                <w:szCs w:val="21"/>
              </w:rPr>
              <w:t>建立时间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宋体" w:hAnsi="宋体" w:cs="宋体"/>
                <w:szCs w:val="21"/>
              </w:rPr>
            </w:pPr>
            <w:r>
              <w:rPr>
                <w:rFonts w:hint="eastAsia" w:ascii="宋体" w:hAnsi="宋体" w:cs="宋体"/>
                <w:szCs w:val="21"/>
              </w:rPr>
              <w:t>1</w:t>
            </w:r>
          </w:p>
        </w:tc>
        <w:tc>
          <w:tcPr>
            <w:tcW w:w="4722" w:type="dxa"/>
            <w:vAlign w:val="center"/>
          </w:tcPr>
          <w:p>
            <w:pPr>
              <w:jc w:val="center"/>
              <w:rPr>
                <w:rFonts w:ascii="宋体" w:hAnsi="宋体" w:cs="宋体"/>
                <w:szCs w:val="21"/>
              </w:rPr>
            </w:pPr>
            <w:r>
              <w:rPr>
                <w:rFonts w:hint="eastAsia" w:ascii="宋体" w:hAnsi="宋体" w:cs="宋体"/>
                <w:szCs w:val="21"/>
              </w:rPr>
              <w:t>广汽传祺汽车股份有限公司</w:t>
            </w:r>
          </w:p>
        </w:tc>
        <w:tc>
          <w:tcPr>
            <w:tcW w:w="2841" w:type="dxa"/>
            <w:vAlign w:val="center"/>
          </w:tcPr>
          <w:p>
            <w:pPr>
              <w:jc w:val="center"/>
              <w:rPr>
                <w:rFonts w:ascii="宋体" w:hAnsi="宋体" w:cs="宋体"/>
                <w:szCs w:val="21"/>
              </w:rPr>
            </w:pPr>
            <w:r>
              <w:rPr>
                <w:rFonts w:hint="eastAsia" w:ascii="宋体" w:hAnsi="宋体" w:cs="宋体"/>
                <w:szCs w:val="21"/>
              </w:rPr>
              <w:t>2007年7月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宋体" w:hAnsi="宋体" w:cs="宋体"/>
                <w:szCs w:val="21"/>
              </w:rPr>
            </w:pPr>
            <w:r>
              <w:rPr>
                <w:rFonts w:hint="eastAsia" w:ascii="宋体" w:hAnsi="宋体" w:cs="宋体"/>
                <w:szCs w:val="21"/>
              </w:rPr>
              <w:t>2</w:t>
            </w:r>
          </w:p>
        </w:tc>
        <w:tc>
          <w:tcPr>
            <w:tcW w:w="4722" w:type="dxa"/>
            <w:vAlign w:val="center"/>
          </w:tcPr>
          <w:p>
            <w:pPr>
              <w:jc w:val="center"/>
              <w:rPr>
                <w:rFonts w:ascii="宋体" w:hAnsi="宋体" w:cs="宋体"/>
                <w:szCs w:val="21"/>
              </w:rPr>
            </w:pPr>
            <w:r>
              <w:rPr>
                <w:rFonts w:hint="eastAsia" w:ascii="宋体" w:hAnsi="宋体" w:cs="宋体"/>
                <w:szCs w:val="21"/>
              </w:rPr>
              <w:t>比亚迪汽车股份有限公司</w:t>
            </w:r>
          </w:p>
        </w:tc>
        <w:tc>
          <w:tcPr>
            <w:tcW w:w="2841" w:type="dxa"/>
            <w:vAlign w:val="center"/>
          </w:tcPr>
          <w:p>
            <w:pPr>
              <w:jc w:val="center"/>
              <w:rPr>
                <w:rFonts w:ascii="宋体" w:hAnsi="宋体" w:cs="宋体"/>
                <w:szCs w:val="21"/>
              </w:rPr>
            </w:pPr>
            <w:r>
              <w:rPr>
                <w:rFonts w:hint="eastAsia" w:ascii="宋体" w:hAnsi="宋体" w:cs="宋体"/>
                <w:szCs w:val="21"/>
              </w:rPr>
              <w:t>2008年6月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宋体" w:hAnsi="宋体" w:cs="宋体"/>
                <w:szCs w:val="21"/>
              </w:rPr>
            </w:pPr>
            <w:r>
              <w:rPr>
                <w:rFonts w:hint="eastAsia" w:ascii="宋体" w:hAnsi="宋体" w:cs="宋体"/>
                <w:szCs w:val="21"/>
              </w:rPr>
              <w:t>3</w:t>
            </w:r>
          </w:p>
        </w:tc>
        <w:tc>
          <w:tcPr>
            <w:tcW w:w="4722" w:type="dxa"/>
            <w:vAlign w:val="center"/>
          </w:tcPr>
          <w:p>
            <w:pPr>
              <w:jc w:val="center"/>
              <w:rPr>
                <w:rFonts w:ascii="宋体" w:hAnsi="宋体" w:cs="宋体"/>
                <w:szCs w:val="21"/>
              </w:rPr>
            </w:pPr>
            <w:r>
              <w:rPr>
                <w:rFonts w:hint="eastAsia" w:ascii="宋体" w:hAnsi="宋体" w:cs="宋体"/>
                <w:szCs w:val="21"/>
              </w:rPr>
              <w:t>茂名华通丰田汽车销售服务有限公司</w:t>
            </w:r>
          </w:p>
        </w:tc>
        <w:tc>
          <w:tcPr>
            <w:tcW w:w="2841" w:type="dxa"/>
            <w:vAlign w:val="center"/>
          </w:tcPr>
          <w:p>
            <w:pPr>
              <w:jc w:val="center"/>
              <w:rPr>
                <w:rFonts w:ascii="宋体" w:hAnsi="宋体" w:cs="宋体"/>
                <w:szCs w:val="21"/>
              </w:rPr>
            </w:pPr>
            <w:r>
              <w:rPr>
                <w:rFonts w:hint="eastAsia" w:ascii="宋体" w:hAnsi="宋体" w:cs="宋体"/>
                <w:szCs w:val="21"/>
              </w:rPr>
              <w:t>2013年6月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宋体" w:hAnsi="宋体" w:cs="宋体"/>
                <w:szCs w:val="21"/>
              </w:rPr>
            </w:pPr>
            <w:r>
              <w:rPr>
                <w:rFonts w:hint="eastAsia" w:ascii="宋体" w:hAnsi="宋体" w:cs="宋体"/>
                <w:szCs w:val="21"/>
              </w:rPr>
              <w:t>4</w:t>
            </w:r>
          </w:p>
        </w:tc>
        <w:tc>
          <w:tcPr>
            <w:tcW w:w="4722" w:type="dxa"/>
            <w:vAlign w:val="center"/>
          </w:tcPr>
          <w:p>
            <w:pPr>
              <w:jc w:val="center"/>
              <w:rPr>
                <w:rFonts w:ascii="宋体" w:hAnsi="宋体" w:cs="宋体"/>
                <w:szCs w:val="21"/>
              </w:rPr>
            </w:pPr>
            <w:r>
              <w:rPr>
                <w:rFonts w:hint="eastAsia" w:ascii="宋体" w:hAnsi="宋体" w:cs="宋体"/>
                <w:szCs w:val="21"/>
              </w:rPr>
              <w:t>茂名市京粤名通汽车有限公司</w:t>
            </w:r>
          </w:p>
        </w:tc>
        <w:tc>
          <w:tcPr>
            <w:tcW w:w="2841" w:type="dxa"/>
            <w:vAlign w:val="center"/>
          </w:tcPr>
          <w:p>
            <w:pPr>
              <w:jc w:val="center"/>
              <w:rPr>
                <w:rFonts w:ascii="宋体" w:hAnsi="宋体" w:cs="宋体"/>
                <w:szCs w:val="21"/>
              </w:rPr>
            </w:pPr>
            <w:r>
              <w:rPr>
                <w:rFonts w:hint="eastAsia" w:ascii="宋体" w:hAnsi="宋体" w:cs="宋体"/>
                <w:szCs w:val="21"/>
              </w:rPr>
              <w:t>2013年5月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宋体" w:hAnsi="宋体" w:cs="宋体"/>
                <w:szCs w:val="21"/>
              </w:rPr>
            </w:pPr>
            <w:r>
              <w:rPr>
                <w:rFonts w:hint="eastAsia" w:ascii="宋体" w:hAnsi="宋体" w:cs="宋体"/>
                <w:szCs w:val="21"/>
              </w:rPr>
              <w:t>5</w:t>
            </w:r>
          </w:p>
        </w:tc>
        <w:tc>
          <w:tcPr>
            <w:tcW w:w="4722" w:type="dxa"/>
            <w:vAlign w:val="center"/>
          </w:tcPr>
          <w:p>
            <w:pPr>
              <w:jc w:val="center"/>
              <w:rPr>
                <w:rFonts w:ascii="宋体" w:hAnsi="宋体" w:cs="宋体"/>
                <w:szCs w:val="21"/>
              </w:rPr>
            </w:pPr>
            <w:r>
              <w:rPr>
                <w:rFonts w:hint="eastAsia" w:ascii="宋体" w:hAnsi="宋体" w:cs="宋体"/>
                <w:szCs w:val="21"/>
              </w:rPr>
              <w:t>茂名万丰汽车有限公司</w:t>
            </w:r>
          </w:p>
        </w:tc>
        <w:tc>
          <w:tcPr>
            <w:tcW w:w="2841" w:type="dxa"/>
            <w:vAlign w:val="center"/>
          </w:tcPr>
          <w:p>
            <w:pPr>
              <w:jc w:val="center"/>
              <w:rPr>
                <w:rFonts w:ascii="宋体" w:hAnsi="宋体" w:cs="宋体"/>
                <w:szCs w:val="21"/>
              </w:rPr>
            </w:pPr>
            <w:r>
              <w:rPr>
                <w:rFonts w:hint="eastAsia" w:ascii="宋体" w:hAnsi="宋体" w:cs="宋体"/>
                <w:szCs w:val="21"/>
              </w:rPr>
              <w:t>2013年5月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宋体" w:hAnsi="宋体" w:cs="宋体"/>
                <w:szCs w:val="21"/>
              </w:rPr>
            </w:pPr>
            <w:r>
              <w:rPr>
                <w:rFonts w:hint="eastAsia" w:ascii="宋体" w:hAnsi="宋体" w:cs="宋体"/>
                <w:szCs w:val="21"/>
              </w:rPr>
              <w:t>6</w:t>
            </w:r>
          </w:p>
        </w:tc>
        <w:tc>
          <w:tcPr>
            <w:tcW w:w="4722" w:type="dxa"/>
            <w:vAlign w:val="center"/>
          </w:tcPr>
          <w:p>
            <w:pPr>
              <w:jc w:val="center"/>
              <w:rPr>
                <w:rFonts w:ascii="宋体" w:hAnsi="宋体" w:cs="宋体"/>
                <w:szCs w:val="21"/>
              </w:rPr>
            </w:pPr>
            <w:r>
              <w:rPr>
                <w:rFonts w:hint="eastAsia" w:ascii="宋体" w:hAnsi="宋体" w:cs="宋体"/>
                <w:szCs w:val="21"/>
                <w:lang w:val="en-GB"/>
              </w:rPr>
              <w:t>茂名市进达汽车有限公司</w:t>
            </w:r>
          </w:p>
        </w:tc>
        <w:tc>
          <w:tcPr>
            <w:tcW w:w="2841" w:type="dxa"/>
            <w:vAlign w:val="center"/>
          </w:tcPr>
          <w:p>
            <w:pPr>
              <w:jc w:val="center"/>
              <w:rPr>
                <w:rFonts w:ascii="宋体" w:hAnsi="宋体" w:cs="宋体"/>
                <w:szCs w:val="21"/>
              </w:rPr>
            </w:pPr>
            <w:r>
              <w:rPr>
                <w:rFonts w:hint="eastAsia" w:ascii="宋体" w:hAnsi="宋体" w:cs="宋体"/>
                <w:szCs w:val="21"/>
              </w:rPr>
              <w:t>2016年8月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宋体" w:hAnsi="宋体" w:cs="宋体"/>
                <w:szCs w:val="21"/>
              </w:rPr>
            </w:pPr>
            <w:r>
              <w:rPr>
                <w:rFonts w:hint="eastAsia" w:ascii="宋体" w:hAnsi="宋体" w:cs="宋体"/>
                <w:szCs w:val="21"/>
              </w:rPr>
              <w:t>7</w:t>
            </w:r>
          </w:p>
        </w:tc>
        <w:tc>
          <w:tcPr>
            <w:tcW w:w="4722" w:type="dxa"/>
            <w:vAlign w:val="center"/>
          </w:tcPr>
          <w:p>
            <w:pPr>
              <w:jc w:val="center"/>
              <w:rPr>
                <w:rFonts w:ascii="宋体" w:hAnsi="宋体" w:cs="宋体"/>
                <w:szCs w:val="21"/>
              </w:rPr>
            </w:pPr>
            <w:r>
              <w:rPr>
                <w:rFonts w:hint="eastAsia" w:ascii="宋体" w:hAnsi="宋体" w:cs="宋体"/>
                <w:szCs w:val="21"/>
              </w:rPr>
              <w:t>茂名市锦伦汽车有限公司</w:t>
            </w:r>
          </w:p>
        </w:tc>
        <w:tc>
          <w:tcPr>
            <w:tcW w:w="2841" w:type="dxa"/>
            <w:vAlign w:val="center"/>
          </w:tcPr>
          <w:p>
            <w:pPr>
              <w:jc w:val="center"/>
              <w:rPr>
                <w:rFonts w:ascii="宋体" w:hAnsi="宋体" w:cs="宋体"/>
                <w:szCs w:val="21"/>
              </w:rPr>
            </w:pPr>
            <w:r>
              <w:rPr>
                <w:rFonts w:hint="eastAsia" w:ascii="宋体" w:hAnsi="宋体" w:cs="宋体"/>
                <w:szCs w:val="21"/>
              </w:rPr>
              <w:t>2016年8月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宋体" w:hAnsi="宋体" w:cs="宋体"/>
                <w:szCs w:val="21"/>
              </w:rPr>
            </w:pPr>
            <w:r>
              <w:rPr>
                <w:rFonts w:hint="eastAsia" w:ascii="宋体" w:hAnsi="宋体" w:cs="宋体"/>
                <w:szCs w:val="21"/>
              </w:rPr>
              <w:t>8</w:t>
            </w:r>
          </w:p>
        </w:tc>
        <w:tc>
          <w:tcPr>
            <w:tcW w:w="4722" w:type="dxa"/>
            <w:vAlign w:val="center"/>
          </w:tcPr>
          <w:p>
            <w:pPr>
              <w:jc w:val="center"/>
              <w:rPr>
                <w:rFonts w:ascii="宋体" w:hAnsi="宋体" w:cs="宋体"/>
                <w:szCs w:val="21"/>
              </w:rPr>
            </w:pPr>
            <w:r>
              <w:rPr>
                <w:rFonts w:hint="eastAsia" w:ascii="宋体" w:hAnsi="宋体" w:cs="宋体"/>
                <w:szCs w:val="21"/>
              </w:rPr>
              <w:t>茂名市广物福恒汽车销售服务有限公司</w:t>
            </w:r>
          </w:p>
        </w:tc>
        <w:tc>
          <w:tcPr>
            <w:tcW w:w="2841" w:type="dxa"/>
            <w:vAlign w:val="center"/>
          </w:tcPr>
          <w:p>
            <w:pPr>
              <w:jc w:val="center"/>
              <w:rPr>
                <w:rFonts w:ascii="宋体" w:hAnsi="宋体" w:cs="宋体"/>
                <w:szCs w:val="21"/>
              </w:rPr>
            </w:pPr>
            <w:r>
              <w:rPr>
                <w:rFonts w:hint="eastAsia" w:ascii="宋体" w:hAnsi="宋体" w:cs="宋体"/>
                <w:szCs w:val="21"/>
              </w:rPr>
              <w:t>2016年8月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宋体" w:hAnsi="宋体" w:cs="宋体"/>
                <w:szCs w:val="21"/>
              </w:rPr>
            </w:pPr>
            <w:r>
              <w:rPr>
                <w:rFonts w:hint="eastAsia" w:ascii="宋体" w:hAnsi="宋体" w:cs="宋体"/>
                <w:szCs w:val="21"/>
              </w:rPr>
              <w:t>9</w:t>
            </w:r>
          </w:p>
        </w:tc>
        <w:tc>
          <w:tcPr>
            <w:tcW w:w="4722" w:type="dxa"/>
            <w:vAlign w:val="center"/>
          </w:tcPr>
          <w:p>
            <w:pPr>
              <w:jc w:val="center"/>
              <w:rPr>
                <w:rFonts w:ascii="宋体" w:hAnsi="宋体" w:cs="宋体"/>
                <w:szCs w:val="21"/>
              </w:rPr>
            </w:pPr>
            <w:r>
              <w:rPr>
                <w:rFonts w:hint="eastAsia" w:ascii="宋体" w:hAnsi="宋体" w:cs="宋体"/>
                <w:szCs w:val="21"/>
              </w:rPr>
              <w:t>茂名市明湖汽车销售服务股份有限公司</w:t>
            </w:r>
          </w:p>
        </w:tc>
        <w:tc>
          <w:tcPr>
            <w:tcW w:w="2841" w:type="dxa"/>
            <w:vAlign w:val="center"/>
          </w:tcPr>
          <w:p>
            <w:pPr>
              <w:jc w:val="center"/>
              <w:rPr>
                <w:rFonts w:ascii="宋体" w:hAnsi="宋体" w:cs="宋体"/>
                <w:szCs w:val="21"/>
              </w:rPr>
            </w:pPr>
            <w:r>
              <w:rPr>
                <w:rFonts w:hint="eastAsia" w:ascii="宋体" w:hAnsi="宋体" w:cs="宋体"/>
                <w:szCs w:val="21"/>
              </w:rPr>
              <w:t>2017年6月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宋体" w:hAnsi="宋体" w:cs="宋体"/>
                <w:szCs w:val="21"/>
              </w:rPr>
            </w:pPr>
            <w:r>
              <w:rPr>
                <w:rFonts w:hint="eastAsia" w:ascii="宋体" w:hAnsi="宋体" w:cs="宋体"/>
                <w:szCs w:val="21"/>
              </w:rPr>
              <w:t>10</w:t>
            </w:r>
          </w:p>
        </w:tc>
        <w:tc>
          <w:tcPr>
            <w:tcW w:w="4722" w:type="dxa"/>
            <w:vAlign w:val="center"/>
          </w:tcPr>
          <w:p>
            <w:pPr>
              <w:jc w:val="center"/>
              <w:rPr>
                <w:rFonts w:ascii="宋体" w:hAnsi="宋体" w:cs="宋体"/>
                <w:szCs w:val="21"/>
              </w:rPr>
            </w:pPr>
            <w:r>
              <w:rPr>
                <w:rFonts w:hint="eastAsia" w:ascii="宋体" w:hAnsi="宋体" w:cs="宋体"/>
                <w:szCs w:val="21"/>
              </w:rPr>
              <w:t>湛江市金富汽车销售有限公司</w:t>
            </w:r>
          </w:p>
        </w:tc>
        <w:tc>
          <w:tcPr>
            <w:tcW w:w="2841" w:type="dxa"/>
            <w:vAlign w:val="center"/>
          </w:tcPr>
          <w:p>
            <w:pPr>
              <w:jc w:val="center"/>
              <w:rPr>
                <w:rFonts w:ascii="宋体" w:hAnsi="宋体" w:cs="宋体"/>
                <w:szCs w:val="21"/>
              </w:rPr>
            </w:pPr>
            <w:r>
              <w:rPr>
                <w:rFonts w:hint="eastAsia" w:ascii="宋体" w:hAnsi="宋体" w:cs="宋体"/>
                <w:szCs w:val="21"/>
              </w:rPr>
              <w:t>2017年6月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宋体" w:hAnsi="宋体" w:cs="宋体"/>
                <w:szCs w:val="21"/>
              </w:rPr>
            </w:pPr>
            <w:r>
              <w:rPr>
                <w:rFonts w:hint="eastAsia" w:ascii="宋体" w:hAnsi="宋体" w:cs="宋体"/>
                <w:szCs w:val="21"/>
              </w:rPr>
              <w:t>11</w:t>
            </w:r>
          </w:p>
        </w:tc>
        <w:tc>
          <w:tcPr>
            <w:tcW w:w="4722" w:type="dxa"/>
            <w:vAlign w:val="center"/>
          </w:tcPr>
          <w:p>
            <w:pPr>
              <w:jc w:val="center"/>
              <w:rPr>
                <w:rFonts w:ascii="宋体" w:hAnsi="宋体" w:cs="宋体"/>
                <w:szCs w:val="21"/>
              </w:rPr>
            </w:pPr>
            <w:r>
              <w:rPr>
                <w:rFonts w:hint="eastAsia" w:ascii="宋体" w:hAnsi="宋体" w:cs="宋体"/>
                <w:szCs w:val="21"/>
              </w:rPr>
              <w:t>湛江市华富汽车销售服务有限公司</w:t>
            </w:r>
          </w:p>
        </w:tc>
        <w:tc>
          <w:tcPr>
            <w:tcW w:w="2841" w:type="dxa"/>
            <w:vAlign w:val="center"/>
          </w:tcPr>
          <w:p>
            <w:pPr>
              <w:jc w:val="center"/>
              <w:rPr>
                <w:rFonts w:ascii="宋体" w:hAnsi="宋体" w:cs="宋体"/>
                <w:szCs w:val="21"/>
              </w:rPr>
            </w:pPr>
            <w:r>
              <w:rPr>
                <w:rFonts w:hint="eastAsia" w:ascii="宋体" w:hAnsi="宋体" w:cs="宋体"/>
                <w:szCs w:val="21"/>
              </w:rPr>
              <w:t>2018年7月</w:t>
            </w:r>
          </w:p>
        </w:tc>
      </w:tr>
    </w:tbl>
    <w:p>
      <w:pPr>
        <w:spacing w:before="312" w:beforeLines="100" w:line="360" w:lineRule="auto"/>
        <w:ind w:firstLine="422" w:firstLineChars="200"/>
        <w:rPr>
          <w:rFonts w:ascii="宋体" w:hAnsi="宋体" w:cs="宋体"/>
          <w:b/>
          <w:szCs w:val="21"/>
        </w:rPr>
      </w:pPr>
      <w:r>
        <w:rPr>
          <w:rFonts w:hint="eastAsia" w:ascii="宋体" w:hAnsi="宋体" w:cs="宋体"/>
          <w:b/>
          <w:szCs w:val="21"/>
        </w:rPr>
        <w:t xml:space="preserve">2.信息化条件 </w:t>
      </w:r>
    </w:p>
    <w:p>
      <w:pPr>
        <w:spacing w:line="360" w:lineRule="auto"/>
        <w:ind w:firstLine="420" w:firstLineChars="200"/>
        <w:rPr>
          <w:rFonts w:ascii="宋体" w:hAnsi="宋体" w:cs="宋体"/>
          <w:szCs w:val="21"/>
        </w:rPr>
      </w:pPr>
      <w:r>
        <w:rPr>
          <w:rFonts w:hint="eastAsia" w:ascii="宋体" w:hAnsi="宋体" w:cs="宋体"/>
          <w:szCs w:val="21"/>
        </w:rPr>
        <w:t xml:space="preserve">信息化教学的必要条件:数字化的软、硬件环境是实现信息化教学的必要条件。 </w:t>
      </w:r>
    </w:p>
    <w:p>
      <w:pPr>
        <w:spacing w:line="360" w:lineRule="auto"/>
        <w:ind w:firstLine="420" w:firstLineChars="200"/>
        <w:rPr>
          <w:rFonts w:ascii="宋体" w:hAnsi="宋体" w:cs="宋体"/>
          <w:szCs w:val="21"/>
        </w:rPr>
      </w:pPr>
      <w:r>
        <w:rPr>
          <w:rFonts w:hint="eastAsia" w:ascii="宋体" w:hAnsi="宋体" w:cs="宋体"/>
          <w:szCs w:val="21"/>
        </w:rPr>
        <w:t>信息化教学的资源质量:多媒体课件是目前信息技术支持教育教学的主要形式。此外还有文字、图片、动画、视频等素材等。</w:t>
      </w:r>
    </w:p>
    <w:p>
      <w:pPr>
        <w:adjustRightInd w:val="0"/>
        <w:spacing w:line="360" w:lineRule="auto"/>
        <w:ind w:firstLine="480" w:firstLineChars="200"/>
        <w:outlineLvl w:val="2"/>
        <w:rPr>
          <w:rFonts w:ascii="黑体" w:hAnsi="黑体" w:eastAsia="黑体"/>
          <w:sz w:val="28"/>
          <w:szCs w:val="28"/>
        </w:rPr>
      </w:pPr>
      <w:r>
        <w:rPr>
          <w:rFonts w:hint="eastAsia" w:ascii="黑体" w:hAnsi="黑体" w:eastAsia="黑体"/>
          <w:sz w:val="24"/>
        </w:rPr>
        <w:t>（三）教学资源</w:t>
      </w:r>
      <w:r>
        <w:rPr>
          <w:rFonts w:hint="eastAsia" w:ascii="黑体" w:hAnsi="黑体" w:eastAsia="黑体"/>
          <w:sz w:val="28"/>
          <w:szCs w:val="28"/>
        </w:rPr>
        <w:t xml:space="preserve"> </w:t>
      </w:r>
    </w:p>
    <w:p>
      <w:pPr>
        <w:spacing w:line="360" w:lineRule="auto"/>
        <w:ind w:firstLine="420" w:firstLineChars="200"/>
        <w:rPr>
          <w:rFonts w:ascii="宋体" w:hAnsi="宋体" w:cs="宋体"/>
          <w:szCs w:val="21"/>
        </w:rPr>
      </w:pPr>
      <w:r>
        <w:rPr>
          <w:rFonts w:hint="eastAsia" w:ascii="宋体" w:hAnsi="宋体" w:cs="宋体"/>
          <w:szCs w:val="21"/>
        </w:rPr>
        <w:t xml:space="preserve">本专业结合课程特色，多渠道开展校企合作、工学结合的教材开发，鼓励教师编写课程讲义、开发相关配套课程资源，并在此基础上形成数字化课程同步网站。以课程为单位建立并及时更新课程教学资源库，课程教学资源库内容应包括:教学设计文件、电子教材、教学课件、典型案例、政策法规、音视频文件、动画库、习题与试题库、职业资格考试信息、专业图片库等；配备与专业教学相关的图书资料、电子杂志等相关的学习辅助性资源，建立校园网络信息系统，保证教师与学生可通过校园网络即时获取上述各项教学资源并可通过网络利用教学及实训软件开展备课、学习、实训等教学活动。 </w:t>
      </w:r>
    </w:p>
    <w:p>
      <w:pPr>
        <w:adjustRightInd w:val="0"/>
        <w:spacing w:line="360" w:lineRule="auto"/>
        <w:ind w:firstLine="480" w:firstLineChars="200"/>
        <w:outlineLvl w:val="2"/>
        <w:rPr>
          <w:rFonts w:ascii="黑体" w:hAnsi="黑体" w:eastAsia="黑体"/>
          <w:sz w:val="28"/>
          <w:szCs w:val="28"/>
        </w:rPr>
      </w:pPr>
      <w:r>
        <w:rPr>
          <w:rFonts w:hint="eastAsia" w:ascii="黑体" w:hAnsi="黑体" w:eastAsia="黑体"/>
          <w:sz w:val="24"/>
        </w:rPr>
        <w:t>（四）教学方法</w:t>
      </w:r>
      <w:r>
        <w:rPr>
          <w:rFonts w:hint="eastAsia" w:ascii="黑体" w:hAnsi="黑体" w:eastAsia="黑体"/>
          <w:sz w:val="28"/>
          <w:szCs w:val="28"/>
        </w:rPr>
        <w:t xml:space="preserve"> </w:t>
      </w:r>
    </w:p>
    <w:p>
      <w:pPr>
        <w:spacing w:line="360" w:lineRule="auto"/>
        <w:ind w:firstLine="420" w:firstLineChars="200"/>
        <w:rPr>
          <w:rFonts w:ascii="宋体" w:hAnsi="宋体" w:cs="宋体"/>
          <w:szCs w:val="21"/>
        </w:rPr>
      </w:pPr>
      <w:r>
        <w:rPr>
          <w:rFonts w:hint="eastAsia" w:ascii="宋体" w:hAnsi="宋体" w:cs="宋体"/>
          <w:szCs w:val="21"/>
        </w:rPr>
        <w:t xml:space="preserve">本专业以提高教育教学质量为目标，以满足学生成才成长的多元需求为出发点，以学生为中心，重视现代教育教学技术的应用，结合课程特色，进行合作学习、案例教学、情境教学、项目教学、任务驱动、行动导向等多种形式的“做中学、做中教”教学模式，发挥兼职教师在课程教学中的积极作用，充分调动学生的学习积极性和教学互动的参与度。 </w:t>
      </w:r>
    </w:p>
    <w:p>
      <w:pPr>
        <w:adjustRightInd w:val="0"/>
        <w:spacing w:line="360" w:lineRule="auto"/>
        <w:ind w:firstLine="480" w:firstLineChars="200"/>
        <w:outlineLvl w:val="2"/>
        <w:rPr>
          <w:rFonts w:ascii="黑体" w:hAnsi="黑体" w:eastAsia="黑体"/>
          <w:sz w:val="28"/>
          <w:szCs w:val="28"/>
        </w:rPr>
      </w:pPr>
      <w:r>
        <w:rPr>
          <w:rFonts w:hint="eastAsia" w:ascii="黑体" w:hAnsi="黑体" w:eastAsia="黑体"/>
          <w:sz w:val="24"/>
        </w:rPr>
        <w:t>（五）学习评价</w:t>
      </w:r>
      <w:r>
        <w:rPr>
          <w:rFonts w:hint="eastAsia" w:ascii="黑体" w:hAnsi="黑体" w:eastAsia="黑体"/>
          <w:sz w:val="28"/>
          <w:szCs w:val="28"/>
        </w:rPr>
        <w:t xml:space="preserve"> </w:t>
      </w:r>
    </w:p>
    <w:p>
      <w:pPr>
        <w:spacing w:line="360" w:lineRule="auto"/>
        <w:ind w:firstLine="420" w:firstLineChars="200"/>
        <w:rPr>
          <w:rFonts w:ascii="宋体" w:hAnsi="宋体" w:cs="宋体"/>
          <w:szCs w:val="21"/>
        </w:rPr>
      </w:pPr>
      <w:r>
        <w:rPr>
          <w:rFonts w:hint="eastAsia" w:ascii="宋体" w:hAnsi="宋体" w:cs="宋体"/>
          <w:szCs w:val="21"/>
        </w:rPr>
        <w:t xml:space="preserve">本专业应采用知识考核与能力测试相结合，过程考核和结果考核相结合的考核评价方式，结合课程特色，选用笔试、口试、机试、项目考核、业绩考核、以证代考、能力测试等多种考评方式。教学评价的对象应包括学生知识掌握情况、实践操作能力、学习态度和基本职业素质等方面，强调“做中学、做中教、做中考”，注重对职业能力的考核和综合素质的评价:引入小组评分、第三方评分、用人单位评分等多元化的考核评价机制，完善教学评价体系。 </w:t>
      </w:r>
    </w:p>
    <w:p>
      <w:pPr>
        <w:spacing w:line="360" w:lineRule="auto"/>
        <w:ind w:firstLine="420" w:firstLineChars="200"/>
        <w:rPr>
          <w:rFonts w:ascii="宋体" w:hAnsi="宋体" w:cs="宋体"/>
          <w:szCs w:val="21"/>
        </w:rPr>
      </w:pPr>
      <w:r>
        <w:rPr>
          <w:rFonts w:hint="eastAsia" w:ascii="宋体" w:hAnsi="宋体" w:cs="宋体"/>
          <w:szCs w:val="21"/>
        </w:rPr>
        <w:t xml:space="preserve">在学校规定的修业年限内，经毕业清考后累积5门以上课程不合格，不予毕业。 </w:t>
      </w:r>
    </w:p>
    <w:p>
      <w:pPr>
        <w:adjustRightInd w:val="0"/>
        <w:spacing w:line="360" w:lineRule="auto"/>
        <w:ind w:firstLine="480" w:firstLineChars="200"/>
        <w:outlineLvl w:val="2"/>
        <w:rPr>
          <w:rFonts w:ascii="黑体" w:hAnsi="黑体" w:eastAsia="黑体"/>
          <w:sz w:val="28"/>
          <w:szCs w:val="28"/>
        </w:rPr>
      </w:pPr>
      <w:r>
        <w:rPr>
          <w:rFonts w:hint="eastAsia" w:ascii="黑体" w:hAnsi="黑体" w:eastAsia="黑体"/>
          <w:sz w:val="24"/>
        </w:rPr>
        <w:t>（六）质量管理</w:t>
      </w:r>
      <w:r>
        <w:rPr>
          <w:rFonts w:hint="eastAsia" w:ascii="黑体" w:hAnsi="黑体" w:eastAsia="黑体"/>
          <w:sz w:val="28"/>
          <w:szCs w:val="28"/>
        </w:rPr>
        <w:t xml:space="preserve"> </w:t>
      </w:r>
    </w:p>
    <w:p>
      <w:pPr>
        <w:spacing w:line="360" w:lineRule="auto"/>
        <w:ind w:firstLine="422" w:firstLineChars="200"/>
        <w:rPr>
          <w:rFonts w:ascii="宋体" w:hAnsi="宋体" w:cs="宋体"/>
          <w:b/>
          <w:szCs w:val="21"/>
        </w:rPr>
      </w:pPr>
      <w:r>
        <w:rPr>
          <w:rFonts w:hint="eastAsia" w:ascii="宋体" w:hAnsi="宋体" w:cs="宋体"/>
          <w:b/>
          <w:szCs w:val="21"/>
        </w:rPr>
        <w:t xml:space="preserve">1.教学运行组织管理 </w:t>
      </w:r>
    </w:p>
    <w:p>
      <w:pPr>
        <w:spacing w:line="360" w:lineRule="auto"/>
        <w:ind w:firstLine="420" w:firstLineChars="200"/>
        <w:rPr>
          <w:rFonts w:ascii="宋体" w:hAnsi="宋体" w:cs="宋体"/>
          <w:szCs w:val="21"/>
        </w:rPr>
      </w:pPr>
      <w:r>
        <w:rPr>
          <w:rFonts w:hint="eastAsia" w:ascii="宋体" w:hAnsi="宋体" w:cs="宋体"/>
          <w:szCs w:val="21"/>
        </w:rPr>
        <w:t xml:space="preserve">学校教学实行院(校)系两级管理。由一名副院(校)长分管教学工作，教务处负责完成日常教学管理工作，负责制定教学管理规章制度，开展教学评估和检查，保证教学运行。系部负责日常教学的实施和管理，组织专业教师和教研室完成教学任务和教学建设。 </w:t>
      </w:r>
    </w:p>
    <w:p>
      <w:pPr>
        <w:spacing w:line="360" w:lineRule="auto"/>
        <w:ind w:firstLine="420" w:firstLineChars="200"/>
        <w:rPr>
          <w:rFonts w:ascii="宋体" w:hAnsi="宋体" w:cs="宋体"/>
          <w:szCs w:val="21"/>
        </w:rPr>
      </w:pPr>
      <w:r>
        <w:rPr>
          <w:rFonts w:hint="eastAsia" w:ascii="宋体" w:hAnsi="宋体" w:cs="宋体"/>
          <w:szCs w:val="21"/>
        </w:rPr>
        <w:t xml:space="preserve">成立以系主任为负责人，由教学主任、专业带头人、骨干教师和企业领导及专家组成的校企合作专业建设委员会，负责指导专业的建设、教学制度的制定和审核，并监控教学过程，评价人才培养质量；系部负责日常教学的管理和监控；合作企业负责学生顶岗实习、现场教学的管理和监控。 </w:t>
      </w:r>
    </w:p>
    <w:p>
      <w:pPr>
        <w:spacing w:line="360" w:lineRule="auto"/>
        <w:ind w:firstLine="422" w:firstLineChars="200"/>
        <w:rPr>
          <w:rFonts w:ascii="宋体" w:hAnsi="宋体" w:cs="宋体"/>
          <w:b/>
          <w:szCs w:val="21"/>
        </w:rPr>
      </w:pPr>
      <w:r>
        <w:rPr>
          <w:rFonts w:hint="eastAsia" w:ascii="宋体" w:hAnsi="宋体" w:cs="宋体"/>
          <w:b/>
          <w:szCs w:val="21"/>
        </w:rPr>
        <w:t xml:space="preserve">2.教学质量监控评价 </w:t>
      </w:r>
    </w:p>
    <w:p>
      <w:pPr>
        <w:spacing w:line="360" w:lineRule="auto"/>
        <w:ind w:firstLine="420" w:firstLineChars="200"/>
        <w:rPr>
          <w:rFonts w:ascii="宋体" w:hAnsi="宋体" w:cs="宋体"/>
          <w:szCs w:val="21"/>
        </w:rPr>
      </w:pPr>
      <w:r>
        <w:rPr>
          <w:rFonts w:hint="eastAsia" w:ascii="宋体" w:hAnsi="宋体" w:cs="宋体"/>
          <w:szCs w:val="21"/>
        </w:rPr>
        <w:t xml:space="preserve">在日常教学管理中形成教学检查制度、教学质量分析制度、教学信息反馈制度和“学生评教、教师评学、同行评课、专家评质、社会评人”的五评制度。发挥专业建设委员会的积极作用，校企合作制定人才培养方案、工学结合课程标准和各教学环节工作规范性文件，使教学管理和质量监控有章可循、有据可依。建立企业参与的校系两级教学质量监控与评价体系。根据顶岗实习情况，与企业领导和指导教师共同制定和执行顶岗实习管理和考核体系，加强对人才培养过程的管理；为保证顶岗实习的质量，制定顶岗实习管理制度、考核体系、兼职教师管理制度，完善校企双方质量保障制度。 </w:t>
      </w:r>
    </w:p>
    <w:p>
      <w:pPr>
        <w:spacing w:line="360" w:lineRule="auto"/>
        <w:ind w:firstLine="422" w:firstLineChars="200"/>
        <w:rPr>
          <w:rFonts w:ascii="宋体" w:hAnsi="宋体" w:cs="宋体"/>
          <w:b/>
          <w:szCs w:val="21"/>
        </w:rPr>
      </w:pPr>
      <w:r>
        <w:rPr>
          <w:rFonts w:hint="eastAsia" w:ascii="宋体" w:hAnsi="宋体" w:cs="宋体"/>
          <w:b/>
          <w:szCs w:val="21"/>
        </w:rPr>
        <w:t xml:space="preserve">3.教学管理制度 </w:t>
      </w:r>
    </w:p>
    <w:p>
      <w:pPr>
        <w:spacing w:line="360" w:lineRule="auto"/>
        <w:ind w:firstLine="420" w:firstLineChars="200"/>
        <w:rPr>
          <w:rFonts w:ascii="宋体" w:hAnsi="宋体" w:cs="宋体"/>
          <w:szCs w:val="21"/>
        </w:rPr>
      </w:pPr>
      <w:r>
        <w:rPr>
          <w:rFonts w:hint="eastAsia" w:ascii="宋体" w:hAnsi="宋体" w:cs="宋体"/>
          <w:szCs w:val="21"/>
        </w:rPr>
        <w:t xml:space="preserve">建立与工学结合相适应的校企双方共同参与管理的制度，形成校企共管制度化、规范化、可操作的管理办法。在实施人才培养计划和教学管理的过程中，针对校企联合育人出现的问题，根据企业、学生的要求，实施人才培养的柔性管理。 </w:t>
      </w:r>
    </w:p>
    <w:p>
      <w:pPr>
        <w:spacing w:line="360" w:lineRule="auto"/>
        <w:ind w:firstLine="420" w:firstLineChars="200"/>
        <w:rPr>
          <w:rFonts w:ascii="宋体" w:hAnsi="宋体" w:cs="宋体"/>
          <w:szCs w:val="21"/>
        </w:rPr>
      </w:pPr>
      <w:r>
        <w:rPr>
          <w:rFonts w:hint="eastAsia" w:ascii="宋体" w:hAnsi="宋体" w:cs="宋体"/>
          <w:szCs w:val="21"/>
        </w:rPr>
        <w:t xml:space="preserve">（1）企业的订单培养 </w:t>
      </w:r>
    </w:p>
    <w:p>
      <w:pPr>
        <w:spacing w:line="360" w:lineRule="auto"/>
        <w:ind w:firstLine="420" w:firstLineChars="200"/>
        <w:rPr>
          <w:rFonts w:ascii="宋体" w:hAnsi="宋体" w:cs="宋体"/>
          <w:szCs w:val="21"/>
        </w:rPr>
      </w:pPr>
      <w:r>
        <w:rPr>
          <w:rFonts w:hint="eastAsia" w:ascii="宋体" w:hAnsi="宋体" w:cs="宋体"/>
          <w:szCs w:val="21"/>
        </w:rPr>
        <w:t xml:space="preserve">根据就业单位的要求，对订单班，可以根据企业的要求，校企共同制定培养方案，灵活调整教学计划，设置适合企业所需人才规格要求的课程，并改革相应课程的教学内容、教学方法、教学模式和考核方法。 </w:t>
      </w:r>
    </w:p>
    <w:p>
      <w:pPr>
        <w:spacing w:line="360" w:lineRule="auto"/>
        <w:ind w:firstLine="420" w:firstLineChars="200"/>
        <w:rPr>
          <w:rFonts w:ascii="宋体" w:hAnsi="宋体" w:cs="宋体"/>
          <w:szCs w:val="21"/>
        </w:rPr>
      </w:pPr>
      <w:r>
        <w:rPr>
          <w:rFonts w:hint="eastAsia" w:ascii="宋体" w:hAnsi="宋体" w:cs="宋体"/>
          <w:szCs w:val="21"/>
        </w:rPr>
        <w:t xml:space="preserve">（2）实行弹性学制 </w:t>
      </w:r>
    </w:p>
    <w:p>
      <w:pPr>
        <w:spacing w:line="360" w:lineRule="auto"/>
        <w:ind w:firstLine="420" w:firstLineChars="200"/>
        <w:rPr>
          <w:rFonts w:ascii="宋体" w:hAnsi="宋体" w:cs="宋体"/>
          <w:szCs w:val="21"/>
        </w:rPr>
      </w:pPr>
      <w:r>
        <w:rPr>
          <w:rFonts w:hint="eastAsia" w:ascii="宋体" w:hAnsi="宋体" w:cs="宋体"/>
          <w:szCs w:val="21"/>
        </w:rPr>
        <w:t xml:space="preserve">允许学生由于服兵役、进入社会实践等原因暂时中断学习，学分制的建立体现了修业年限的弹性、课程的自选性。学生学分的修业年限最长可延长至5年。 </w:t>
      </w:r>
    </w:p>
    <w:p>
      <w:pPr>
        <w:spacing w:line="360" w:lineRule="auto"/>
        <w:ind w:firstLine="420" w:firstLineChars="200"/>
        <w:rPr>
          <w:rFonts w:ascii="宋体" w:hAnsi="宋体" w:cs="宋体"/>
          <w:szCs w:val="21"/>
        </w:rPr>
      </w:pPr>
      <w:r>
        <w:rPr>
          <w:rFonts w:hint="eastAsia" w:ascii="宋体" w:hAnsi="宋体" w:cs="宋体"/>
          <w:szCs w:val="21"/>
        </w:rPr>
        <w:t xml:space="preserve">（3）对于顶岗实习的柔性管理 </w:t>
      </w:r>
    </w:p>
    <w:p>
      <w:pPr>
        <w:spacing w:line="360" w:lineRule="auto"/>
        <w:ind w:firstLine="420" w:firstLineChars="200"/>
        <w:rPr>
          <w:rFonts w:ascii="宋体" w:hAnsi="宋体" w:cs="宋体"/>
          <w:szCs w:val="21"/>
        </w:rPr>
      </w:pPr>
      <w:r>
        <w:rPr>
          <w:rFonts w:hint="eastAsia" w:ascii="宋体" w:hAnsi="宋体" w:cs="宋体"/>
          <w:szCs w:val="21"/>
        </w:rPr>
        <w:t xml:space="preserve">学生顶岗实习的管理按照学院(校)、系学生顶岗实习管理办法执行，由企业兼职教师与学校教师按照毕业实践课程标准，在学校和企业共同管理、指导、考核下取得相应学分。 </w:t>
      </w:r>
    </w:p>
    <w:p>
      <w:pPr>
        <w:spacing w:line="360" w:lineRule="auto"/>
        <w:ind w:firstLine="420" w:firstLineChars="200"/>
        <w:rPr>
          <w:rFonts w:ascii="宋体" w:hAnsi="宋体" w:cs="宋体"/>
          <w:szCs w:val="21"/>
        </w:rPr>
      </w:pPr>
      <w:r>
        <w:rPr>
          <w:rFonts w:hint="eastAsia" w:ascii="宋体" w:hAnsi="宋体" w:cs="宋体"/>
          <w:szCs w:val="21"/>
        </w:rPr>
        <w:t xml:space="preserve">顶岗实习单位可灵活选择。在毕业实践环节，学生既可前往就业单位实习，也可去专业安排的校外基地进行实习，或自行联系实习企业。只要企业符合专业规定的实习教学条件要求，都可以去实习。 </w:t>
      </w:r>
    </w:p>
    <w:p>
      <w:pPr>
        <w:spacing w:line="360" w:lineRule="auto"/>
        <w:ind w:firstLine="420" w:firstLineChars="200"/>
        <w:rPr>
          <w:rFonts w:ascii="宋体" w:hAnsi="宋体" w:cs="宋体"/>
          <w:szCs w:val="21"/>
        </w:rPr>
      </w:pPr>
      <w:r>
        <w:rPr>
          <w:rFonts w:hint="eastAsia" w:ascii="宋体" w:hAnsi="宋体" w:cs="宋体"/>
          <w:szCs w:val="21"/>
        </w:rPr>
        <w:t xml:space="preserve">因就业单位的实际需求，针对部分学生提前前往就业单位实习或从事非本专业实习内容的，实行“学分替换”制度，学生在企业参加与专业相关或不相关的岗前培训，并考核合格，经系主任批准，可用企业考核成绩替换相应专业课程学分。 </w:t>
      </w:r>
    </w:p>
    <w:p>
      <w:pPr>
        <w:spacing w:line="360" w:lineRule="auto"/>
        <w:ind w:firstLine="560" w:firstLineChars="200"/>
        <w:outlineLvl w:val="1"/>
        <w:rPr>
          <w:rFonts w:ascii="宋体" w:hAnsi="宋体"/>
          <w:szCs w:val="21"/>
        </w:rPr>
      </w:pPr>
      <w:r>
        <w:rPr>
          <w:rFonts w:hint="eastAsia" w:ascii="Times New Roman" w:hAnsi="Times New Roman" w:eastAsia="黑体"/>
          <w:sz w:val="28"/>
          <w:szCs w:val="28"/>
        </w:rPr>
        <w:t>九、</w:t>
      </w:r>
      <w:r>
        <w:rPr>
          <w:rFonts w:ascii="Times New Roman" w:hAnsi="Times New Roman" w:eastAsia="黑体"/>
          <w:sz w:val="28"/>
          <w:szCs w:val="28"/>
        </w:rPr>
        <w:t>毕业要求</w:t>
      </w:r>
    </w:p>
    <w:p>
      <w:pPr>
        <w:spacing w:line="360" w:lineRule="auto"/>
        <w:ind w:firstLine="420" w:firstLineChars="200"/>
        <w:rPr>
          <w:rFonts w:ascii="宋体" w:hAnsi="宋体"/>
          <w:szCs w:val="21"/>
        </w:rPr>
      </w:pPr>
      <w:r>
        <w:rPr>
          <w:rFonts w:hint="eastAsia" w:ascii="宋体" w:hAnsi="宋体"/>
          <w:szCs w:val="21"/>
        </w:rPr>
        <w:t xml:space="preserve">本专业的学生必须修满140分才能获得毕业资格。 </w:t>
      </w:r>
    </w:p>
    <w:p>
      <w:pPr>
        <w:spacing w:line="360" w:lineRule="auto"/>
        <w:ind w:firstLine="420" w:firstLineChars="200"/>
        <w:rPr>
          <w:rFonts w:ascii="宋体" w:hAnsi="宋体"/>
          <w:b/>
          <w:bCs/>
          <w:szCs w:val="21"/>
        </w:rPr>
      </w:pPr>
      <w:r>
        <w:rPr>
          <w:rFonts w:hint="eastAsia" w:ascii="宋体" w:hAnsi="宋体"/>
          <w:szCs w:val="21"/>
        </w:rPr>
        <w:t xml:space="preserve">汽车检测与维修技术专业学生毕业前推荐考取表十职业资格证书中的一项: </w:t>
      </w:r>
    </w:p>
    <w:p>
      <w:pPr>
        <w:jc w:val="center"/>
        <w:rPr>
          <w:rFonts w:ascii="宋体" w:hAnsi="宋体"/>
        </w:rPr>
      </w:pPr>
      <w:r>
        <w:rPr>
          <w:rFonts w:hint="eastAsia" w:ascii="宋体" w:hAnsi="宋体"/>
        </w:rPr>
        <w:t xml:space="preserve">表十 </w:t>
      </w:r>
      <w:r>
        <w:rPr>
          <w:rFonts w:hint="eastAsia" w:ascii="宋体" w:hAnsi="宋体"/>
          <w:szCs w:val="21"/>
        </w:rPr>
        <w:t>汽车检测与维修技术</w:t>
      </w:r>
      <w:r>
        <w:rPr>
          <w:rFonts w:hint="eastAsia" w:ascii="宋体" w:hAnsi="宋体"/>
        </w:rPr>
        <w:t>专业相关技能证书一览表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1440"/>
        <w:gridCol w:w="1475"/>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96" w:type="dxa"/>
            <w:vAlign w:val="center"/>
          </w:tcPr>
          <w:p>
            <w:pPr>
              <w:jc w:val="center"/>
              <w:rPr>
                <w:rFonts w:ascii="宋体" w:hAnsi="宋体" w:cs="宋体"/>
                <w:b/>
                <w:szCs w:val="21"/>
              </w:rPr>
            </w:pPr>
            <w:r>
              <w:rPr>
                <w:rFonts w:hint="eastAsia" w:ascii="宋体" w:hAnsi="宋体" w:cs="宋体"/>
                <w:b/>
                <w:szCs w:val="21"/>
              </w:rPr>
              <w:t>证书名称</w:t>
            </w:r>
          </w:p>
        </w:tc>
        <w:tc>
          <w:tcPr>
            <w:tcW w:w="1440" w:type="dxa"/>
            <w:vAlign w:val="center"/>
          </w:tcPr>
          <w:p>
            <w:pPr>
              <w:jc w:val="center"/>
              <w:rPr>
                <w:rFonts w:ascii="宋体" w:hAnsi="宋体" w:cs="宋体"/>
                <w:b/>
                <w:szCs w:val="21"/>
              </w:rPr>
            </w:pPr>
            <w:r>
              <w:rPr>
                <w:rFonts w:hint="eastAsia" w:ascii="宋体" w:hAnsi="宋体" w:cs="宋体"/>
                <w:b/>
                <w:szCs w:val="21"/>
              </w:rPr>
              <w:t>报名时间</w:t>
            </w:r>
          </w:p>
        </w:tc>
        <w:tc>
          <w:tcPr>
            <w:tcW w:w="1475" w:type="dxa"/>
            <w:vAlign w:val="center"/>
          </w:tcPr>
          <w:p>
            <w:pPr>
              <w:jc w:val="center"/>
              <w:rPr>
                <w:rFonts w:ascii="宋体" w:hAnsi="宋体" w:cs="宋体"/>
                <w:b/>
                <w:szCs w:val="21"/>
              </w:rPr>
            </w:pPr>
            <w:r>
              <w:rPr>
                <w:rFonts w:hint="eastAsia" w:ascii="宋体" w:hAnsi="宋体" w:cs="宋体"/>
                <w:b/>
                <w:szCs w:val="21"/>
              </w:rPr>
              <w:t>考证时间</w:t>
            </w:r>
          </w:p>
        </w:tc>
        <w:tc>
          <w:tcPr>
            <w:tcW w:w="3311" w:type="dxa"/>
            <w:vAlign w:val="center"/>
          </w:tcPr>
          <w:p>
            <w:pPr>
              <w:jc w:val="center"/>
              <w:rPr>
                <w:rFonts w:ascii="宋体" w:hAnsi="宋体" w:cs="宋体"/>
                <w:b/>
                <w:szCs w:val="21"/>
              </w:rPr>
            </w:pPr>
            <w:r>
              <w:rPr>
                <w:rFonts w:hint="eastAsia" w:ascii="宋体" w:hAnsi="宋体" w:cs="宋体"/>
                <w:b/>
                <w:szCs w:val="21"/>
              </w:rPr>
              <w:t>发证机构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96" w:type="dxa"/>
            <w:vAlign w:val="center"/>
          </w:tcPr>
          <w:p>
            <w:pPr>
              <w:jc w:val="center"/>
              <w:rPr>
                <w:rFonts w:ascii="宋体" w:hAnsi="宋体" w:cs="宋体"/>
                <w:szCs w:val="21"/>
              </w:rPr>
            </w:pPr>
            <w:r>
              <w:rPr>
                <w:rFonts w:hint="eastAsia" w:ascii="宋体" w:hAnsi="宋体" w:cs="宋体"/>
                <w:szCs w:val="21"/>
              </w:rPr>
              <w:t>全国计算机等级考试</w:t>
            </w:r>
          </w:p>
        </w:tc>
        <w:tc>
          <w:tcPr>
            <w:tcW w:w="1440" w:type="dxa"/>
            <w:vAlign w:val="center"/>
          </w:tcPr>
          <w:p>
            <w:pPr>
              <w:jc w:val="center"/>
              <w:rPr>
                <w:rFonts w:ascii="宋体" w:hAnsi="宋体" w:cs="宋体"/>
                <w:szCs w:val="21"/>
              </w:rPr>
            </w:pPr>
            <w:r>
              <w:rPr>
                <w:rFonts w:hint="eastAsia" w:ascii="宋体" w:hAnsi="宋体" w:cs="宋体"/>
                <w:szCs w:val="21"/>
              </w:rPr>
              <w:t>时间待定</w:t>
            </w:r>
          </w:p>
        </w:tc>
        <w:tc>
          <w:tcPr>
            <w:tcW w:w="1475" w:type="dxa"/>
            <w:vAlign w:val="center"/>
          </w:tcPr>
          <w:p>
            <w:pPr>
              <w:jc w:val="center"/>
              <w:rPr>
                <w:rFonts w:ascii="宋体" w:hAnsi="宋体" w:cs="宋体"/>
                <w:szCs w:val="21"/>
              </w:rPr>
            </w:pPr>
            <w:r>
              <w:rPr>
                <w:rFonts w:hint="eastAsia" w:ascii="宋体" w:hAnsi="宋体" w:cs="宋体"/>
                <w:szCs w:val="21"/>
              </w:rPr>
              <w:t>每年6、12月</w:t>
            </w:r>
          </w:p>
        </w:tc>
        <w:tc>
          <w:tcPr>
            <w:tcW w:w="3311" w:type="dxa"/>
            <w:vAlign w:val="center"/>
          </w:tcPr>
          <w:p>
            <w:pPr>
              <w:jc w:val="center"/>
              <w:rPr>
                <w:rFonts w:ascii="宋体" w:hAnsi="宋体" w:cs="宋体"/>
                <w:szCs w:val="21"/>
              </w:rPr>
            </w:pPr>
            <w:r>
              <w:rPr>
                <w:rFonts w:hint="eastAsia" w:ascii="宋体" w:hAnsi="宋体" w:cs="宋体"/>
                <w:szCs w:val="21"/>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96" w:type="dxa"/>
            <w:vAlign w:val="center"/>
          </w:tcPr>
          <w:p>
            <w:pPr>
              <w:jc w:val="center"/>
              <w:rPr>
                <w:rFonts w:ascii="宋体" w:hAnsi="宋体" w:cs="宋体"/>
                <w:szCs w:val="21"/>
              </w:rPr>
            </w:pPr>
            <w:r>
              <w:rPr>
                <w:rFonts w:hint="eastAsia" w:ascii="宋体" w:hAnsi="宋体" w:cs="宋体"/>
                <w:szCs w:val="21"/>
              </w:rPr>
              <w:t>全国大学英语四、六级考试(CET)</w:t>
            </w:r>
          </w:p>
        </w:tc>
        <w:tc>
          <w:tcPr>
            <w:tcW w:w="1440" w:type="dxa"/>
            <w:vAlign w:val="center"/>
          </w:tcPr>
          <w:p>
            <w:pPr>
              <w:jc w:val="center"/>
              <w:rPr>
                <w:rFonts w:ascii="宋体" w:hAnsi="宋体" w:cs="宋体"/>
                <w:szCs w:val="21"/>
              </w:rPr>
            </w:pPr>
            <w:r>
              <w:rPr>
                <w:rFonts w:hint="eastAsia" w:ascii="宋体" w:hAnsi="宋体" w:cs="宋体"/>
                <w:szCs w:val="21"/>
              </w:rPr>
              <w:t>时间待定</w:t>
            </w:r>
          </w:p>
        </w:tc>
        <w:tc>
          <w:tcPr>
            <w:tcW w:w="1475" w:type="dxa"/>
            <w:vAlign w:val="center"/>
          </w:tcPr>
          <w:p>
            <w:pPr>
              <w:jc w:val="center"/>
              <w:rPr>
                <w:rFonts w:ascii="宋体" w:hAnsi="宋体" w:cs="宋体"/>
                <w:szCs w:val="21"/>
              </w:rPr>
            </w:pPr>
            <w:r>
              <w:rPr>
                <w:rFonts w:hint="eastAsia" w:ascii="宋体" w:hAnsi="宋体" w:cs="宋体"/>
                <w:szCs w:val="21"/>
              </w:rPr>
              <w:t>每年6、12月</w:t>
            </w:r>
          </w:p>
        </w:tc>
        <w:tc>
          <w:tcPr>
            <w:tcW w:w="3311" w:type="dxa"/>
            <w:vAlign w:val="center"/>
          </w:tcPr>
          <w:p>
            <w:pPr>
              <w:jc w:val="center"/>
              <w:rPr>
                <w:rFonts w:ascii="宋体" w:hAnsi="宋体" w:cs="宋体"/>
                <w:szCs w:val="21"/>
              </w:rPr>
            </w:pPr>
            <w:r>
              <w:rPr>
                <w:rFonts w:hint="eastAsia" w:ascii="宋体" w:hAnsi="宋体" w:cs="宋体"/>
                <w:szCs w:val="21"/>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96" w:type="dxa"/>
            <w:vAlign w:val="center"/>
          </w:tcPr>
          <w:p>
            <w:pPr>
              <w:jc w:val="center"/>
              <w:rPr>
                <w:rFonts w:ascii="宋体" w:hAnsi="宋体" w:cs="宋体"/>
                <w:szCs w:val="21"/>
              </w:rPr>
            </w:pPr>
            <w:r>
              <w:rPr>
                <w:rFonts w:hint="eastAsia" w:ascii="宋体" w:hAnsi="宋体" w:cs="宋体"/>
                <w:szCs w:val="21"/>
              </w:rPr>
              <w:t>汽车维修工中级证</w:t>
            </w:r>
          </w:p>
        </w:tc>
        <w:tc>
          <w:tcPr>
            <w:tcW w:w="1440" w:type="dxa"/>
            <w:vAlign w:val="center"/>
          </w:tcPr>
          <w:p>
            <w:pPr>
              <w:jc w:val="center"/>
              <w:rPr>
                <w:rFonts w:ascii="宋体" w:hAnsi="宋体" w:cs="宋体"/>
                <w:szCs w:val="21"/>
              </w:rPr>
            </w:pPr>
            <w:r>
              <w:rPr>
                <w:rFonts w:hint="eastAsia" w:ascii="宋体" w:hAnsi="宋体" w:cs="宋体"/>
                <w:szCs w:val="21"/>
              </w:rPr>
              <w:t>时间待定</w:t>
            </w:r>
          </w:p>
        </w:tc>
        <w:tc>
          <w:tcPr>
            <w:tcW w:w="1475" w:type="dxa"/>
            <w:vAlign w:val="center"/>
          </w:tcPr>
          <w:p>
            <w:pPr>
              <w:jc w:val="center"/>
              <w:rPr>
                <w:rFonts w:ascii="宋体" w:hAnsi="宋体" w:cs="宋体"/>
                <w:szCs w:val="21"/>
              </w:rPr>
            </w:pPr>
            <w:r>
              <w:rPr>
                <w:rFonts w:hint="eastAsia" w:ascii="宋体" w:hAnsi="宋体" w:cs="宋体"/>
                <w:szCs w:val="21"/>
              </w:rPr>
              <w:t>时间待定</w:t>
            </w:r>
          </w:p>
        </w:tc>
        <w:tc>
          <w:tcPr>
            <w:tcW w:w="3311" w:type="dxa"/>
            <w:vAlign w:val="center"/>
          </w:tcPr>
          <w:p>
            <w:pPr>
              <w:jc w:val="center"/>
              <w:rPr>
                <w:rFonts w:ascii="宋体" w:hAnsi="宋体" w:cs="宋体"/>
                <w:szCs w:val="21"/>
              </w:rPr>
            </w:pPr>
            <w:r>
              <w:rPr>
                <w:rFonts w:hint="eastAsia" w:ascii="宋体" w:hAnsi="宋体" w:cs="宋体"/>
                <w:szCs w:val="21"/>
              </w:rPr>
              <w:t>人力资源和社会保障部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96" w:type="dxa"/>
            <w:vAlign w:val="center"/>
          </w:tcPr>
          <w:p>
            <w:pPr>
              <w:jc w:val="center"/>
              <w:rPr>
                <w:rFonts w:ascii="宋体" w:hAnsi="宋体" w:cs="宋体"/>
                <w:szCs w:val="21"/>
              </w:rPr>
            </w:pPr>
            <w:r>
              <w:rPr>
                <w:rFonts w:hint="eastAsia" w:ascii="宋体" w:hAnsi="宋体" w:cs="宋体"/>
                <w:szCs w:val="21"/>
              </w:rPr>
              <w:t>汽车维修工高级证</w:t>
            </w:r>
          </w:p>
        </w:tc>
        <w:tc>
          <w:tcPr>
            <w:tcW w:w="1440" w:type="dxa"/>
            <w:vAlign w:val="center"/>
          </w:tcPr>
          <w:p>
            <w:pPr>
              <w:jc w:val="center"/>
              <w:rPr>
                <w:rFonts w:ascii="宋体" w:hAnsi="宋体" w:cs="宋体"/>
                <w:szCs w:val="21"/>
              </w:rPr>
            </w:pPr>
            <w:r>
              <w:rPr>
                <w:rFonts w:hint="eastAsia" w:ascii="宋体" w:hAnsi="宋体" w:cs="宋体"/>
                <w:szCs w:val="21"/>
              </w:rPr>
              <w:t>时间待定</w:t>
            </w:r>
          </w:p>
        </w:tc>
        <w:tc>
          <w:tcPr>
            <w:tcW w:w="1475" w:type="dxa"/>
            <w:vAlign w:val="center"/>
          </w:tcPr>
          <w:p>
            <w:pPr>
              <w:jc w:val="center"/>
              <w:rPr>
                <w:rFonts w:ascii="宋体" w:hAnsi="宋体" w:cs="宋体"/>
                <w:szCs w:val="21"/>
              </w:rPr>
            </w:pPr>
            <w:r>
              <w:rPr>
                <w:rFonts w:hint="eastAsia" w:ascii="宋体" w:hAnsi="宋体" w:cs="宋体"/>
                <w:szCs w:val="21"/>
              </w:rPr>
              <w:t>时间待定</w:t>
            </w:r>
          </w:p>
        </w:tc>
        <w:tc>
          <w:tcPr>
            <w:tcW w:w="3311" w:type="dxa"/>
            <w:vAlign w:val="center"/>
          </w:tcPr>
          <w:p>
            <w:pPr>
              <w:jc w:val="center"/>
              <w:rPr>
                <w:rFonts w:ascii="宋体" w:hAnsi="宋体" w:cs="宋体"/>
                <w:szCs w:val="21"/>
              </w:rPr>
            </w:pPr>
            <w:r>
              <w:rPr>
                <w:rFonts w:hint="eastAsia" w:ascii="宋体" w:hAnsi="宋体" w:cs="宋体"/>
                <w:szCs w:val="21"/>
              </w:rPr>
              <w:t>人力资源和社会保障部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96" w:type="dxa"/>
            <w:vAlign w:val="center"/>
          </w:tcPr>
          <w:p>
            <w:pPr>
              <w:jc w:val="center"/>
              <w:rPr>
                <w:rFonts w:ascii="宋体" w:hAnsi="宋体" w:cs="宋体"/>
                <w:szCs w:val="21"/>
              </w:rPr>
            </w:pPr>
            <w:r>
              <w:rPr>
                <w:rFonts w:hint="eastAsia" w:ascii="宋体" w:hAnsi="宋体" w:cs="宋体"/>
                <w:szCs w:val="21"/>
              </w:rPr>
              <w:t>二手车评估师证书</w:t>
            </w:r>
          </w:p>
        </w:tc>
        <w:tc>
          <w:tcPr>
            <w:tcW w:w="1440" w:type="dxa"/>
            <w:vAlign w:val="center"/>
          </w:tcPr>
          <w:p>
            <w:pPr>
              <w:jc w:val="center"/>
              <w:rPr>
                <w:rFonts w:ascii="宋体" w:hAnsi="宋体" w:cs="宋体"/>
                <w:szCs w:val="21"/>
              </w:rPr>
            </w:pPr>
            <w:r>
              <w:rPr>
                <w:rFonts w:hint="eastAsia" w:ascii="宋体" w:hAnsi="宋体" w:cs="宋体"/>
                <w:szCs w:val="21"/>
              </w:rPr>
              <w:t>时间待定</w:t>
            </w:r>
          </w:p>
        </w:tc>
        <w:tc>
          <w:tcPr>
            <w:tcW w:w="1475" w:type="dxa"/>
            <w:vAlign w:val="center"/>
          </w:tcPr>
          <w:p>
            <w:pPr>
              <w:jc w:val="center"/>
              <w:rPr>
                <w:rFonts w:ascii="宋体" w:hAnsi="宋体" w:cs="宋体"/>
                <w:szCs w:val="21"/>
              </w:rPr>
            </w:pPr>
            <w:r>
              <w:rPr>
                <w:rFonts w:hint="eastAsia" w:ascii="宋体" w:hAnsi="宋体" w:cs="宋体"/>
                <w:szCs w:val="21"/>
              </w:rPr>
              <w:t>时间待定</w:t>
            </w:r>
          </w:p>
        </w:tc>
        <w:tc>
          <w:tcPr>
            <w:tcW w:w="3311" w:type="dxa"/>
            <w:vAlign w:val="center"/>
          </w:tcPr>
          <w:p>
            <w:pPr>
              <w:jc w:val="center"/>
              <w:rPr>
                <w:rFonts w:ascii="宋体" w:hAnsi="宋体" w:cs="宋体"/>
                <w:szCs w:val="21"/>
              </w:rPr>
            </w:pPr>
            <w:r>
              <w:rPr>
                <w:rFonts w:hint="eastAsia" w:ascii="宋体" w:hAnsi="宋体" w:cs="宋体"/>
                <w:szCs w:val="21"/>
              </w:rPr>
              <w:t>人力资源和社会保障部</w:t>
            </w:r>
          </w:p>
        </w:tc>
      </w:tr>
    </w:tbl>
    <w:p>
      <w:pPr>
        <w:pStyle w:val="15"/>
        <w:spacing w:before="156" w:beforeLines="50"/>
        <w:ind w:firstLine="420"/>
        <w:rPr>
          <w:rFonts w:ascii="宋体" w:eastAsia="宋体" w:cs="宋体"/>
          <w:sz w:val="21"/>
          <w:szCs w:val="21"/>
        </w:rPr>
      </w:pPr>
      <w:r>
        <w:rPr>
          <w:rFonts w:hint="eastAsia" w:ascii="宋体" w:eastAsia="宋体"/>
          <w:sz w:val="21"/>
          <w:szCs w:val="21"/>
        </w:rPr>
        <w:t>备注：要求根据本人规划的就业方向考取上述职业资格证书之一</w:t>
      </w:r>
    </w:p>
    <w:p>
      <w:pPr>
        <w:spacing w:line="360" w:lineRule="auto"/>
        <w:ind w:firstLine="560" w:firstLineChars="200"/>
        <w:rPr>
          <w:rFonts w:ascii="Times New Roman" w:hAnsi="Times New Roman" w:eastAsia="黑体"/>
          <w:sz w:val="28"/>
          <w:szCs w:val="28"/>
        </w:rPr>
      </w:pPr>
      <w:r>
        <w:rPr>
          <w:rFonts w:hint="eastAsia" w:ascii="Times New Roman" w:hAnsi="Times New Roman" w:eastAsia="黑体"/>
          <w:sz w:val="28"/>
          <w:szCs w:val="28"/>
        </w:rPr>
        <w:t>十、继续专业学习和深造建议</w:t>
      </w:r>
    </w:p>
    <w:p>
      <w:pPr>
        <w:spacing w:line="360" w:lineRule="auto"/>
        <w:ind w:firstLine="420" w:firstLineChars="200"/>
        <w:rPr>
          <w:rFonts w:ascii="宋体" w:hAnsi="宋体" w:cs="宋体"/>
          <w:szCs w:val="21"/>
        </w:rPr>
      </w:pPr>
      <w:r>
        <w:rPr>
          <w:rFonts w:hint="eastAsia" w:ascii="宋体" w:hAnsi="宋体" w:cs="宋体"/>
          <w:szCs w:val="21"/>
        </w:rPr>
        <w:t xml:space="preserve">学生继续专业学习深造的途径有： </w:t>
      </w:r>
    </w:p>
    <w:p>
      <w:pPr>
        <w:spacing w:line="360" w:lineRule="auto"/>
        <w:ind w:firstLine="420" w:firstLineChars="200"/>
        <w:rPr>
          <w:rFonts w:ascii="宋体" w:hAnsi="宋体" w:cs="宋体"/>
          <w:szCs w:val="21"/>
        </w:rPr>
      </w:pPr>
      <w:r>
        <w:rPr>
          <w:rFonts w:hint="eastAsia" w:ascii="宋体" w:hAnsi="宋体" w:cs="宋体"/>
          <w:szCs w:val="21"/>
        </w:rPr>
        <w:t xml:space="preserve">1.参加相关专业的高等自学考试(以下简称高自考)的学习高自考的学习主要采取业余时间自主学习的方式，可以于在校期间完成。 </w:t>
      </w:r>
    </w:p>
    <w:p>
      <w:pPr>
        <w:spacing w:line="360" w:lineRule="auto"/>
        <w:ind w:firstLine="420" w:firstLineChars="200"/>
        <w:rPr>
          <w:rFonts w:ascii="宋体" w:hAnsi="宋体" w:cs="宋体"/>
          <w:szCs w:val="21"/>
        </w:rPr>
      </w:pPr>
      <w:r>
        <w:rPr>
          <w:rFonts w:hint="eastAsia" w:ascii="宋体" w:hAnsi="宋体" w:cs="宋体"/>
          <w:szCs w:val="21"/>
        </w:rPr>
        <w:t>2.参加专升本考试升至本科院校继续学习深造或参加函授、远程教育本科学习。</w:t>
      </w:r>
    </w:p>
    <w:p>
      <w:pPr>
        <w:spacing w:line="360" w:lineRule="auto"/>
        <w:ind w:firstLine="420" w:firstLineChars="200"/>
        <w:rPr>
          <w:rFonts w:ascii="宋体" w:hAnsi="宋体" w:cs="宋体"/>
          <w:szCs w:val="21"/>
        </w:rPr>
      </w:pPr>
      <w:r>
        <w:rPr>
          <w:rFonts w:hint="eastAsia" w:ascii="宋体" w:hAnsi="宋体" w:cs="宋体"/>
          <w:szCs w:val="21"/>
        </w:rPr>
        <w:t xml:space="preserve">3.可考取专业相关高级工、技师技能证书。 </w:t>
      </w:r>
    </w:p>
    <w:p>
      <w:pPr>
        <w:spacing w:line="360" w:lineRule="auto"/>
        <w:ind w:firstLine="420" w:firstLineChars="200"/>
        <w:rPr>
          <w:rFonts w:ascii="宋体" w:hAnsi="宋体" w:cs="宋体"/>
          <w:szCs w:val="21"/>
        </w:rPr>
      </w:pPr>
      <w:r>
        <w:rPr>
          <w:rFonts w:hint="eastAsia" w:ascii="宋体" w:hAnsi="宋体" w:cs="宋体"/>
          <w:szCs w:val="21"/>
        </w:rPr>
        <w:t xml:space="preserve">4.可通过有资质的中外办学合作项目或者个人通过考试，申请出国深造或出国进修和培训。 </w:t>
      </w:r>
    </w:p>
    <w:p>
      <w:pPr>
        <w:spacing w:line="360" w:lineRule="auto"/>
        <w:ind w:firstLine="420" w:firstLineChars="200"/>
        <w:outlineLvl w:val="1"/>
        <w:rPr>
          <w:rFonts w:ascii="Times New Roman" w:hAnsi="Times New Roman" w:eastAsia="黑体"/>
          <w:sz w:val="28"/>
          <w:szCs w:val="28"/>
        </w:rPr>
      </w:pPr>
      <w:r>
        <w:rPr>
          <w:rFonts w:hint="eastAsia" w:ascii="宋体" w:hAnsi="宋体" w:cs="宋体"/>
          <w:szCs w:val="21"/>
        </w:rPr>
        <w:t xml:space="preserve"> </w:t>
      </w:r>
      <w:r>
        <w:rPr>
          <w:rFonts w:hint="eastAsia" w:ascii="Times New Roman" w:hAnsi="Times New Roman" w:eastAsia="黑体"/>
          <w:sz w:val="28"/>
          <w:szCs w:val="28"/>
        </w:rPr>
        <w:t>十一、学分转换规定</w:t>
      </w:r>
    </w:p>
    <w:p>
      <w:pPr>
        <w:spacing w:line="360" w:lineRule="auto"/>
        <w:ind w:firstLine="420" w:firstLineChars="200"/>
        <w:rPr>
          <w:rFonts w:ascii="宋体" w:hAnsi="宋体" w:cs="微软雅黑"/>
          <w:szCs w:val="21"/>
        </w:rPr>
      </w:pPr>
      <w:r>
        <w:rPr>
          <w:rFonts w:hint="eastAsia" w:ascii="宋体" w:hAnsi="宋体" w:cs="微软雅黑"/>
          <w:szCs w:val="21"/>
        </w:rPr>
        <w:t>执行学校有关文件规定。</w:t>
      </w:r>
    </w:p>
    <w:p>
      <w:pPr>
        <w:spacing w:line="360" w:lineRule="auto"/>
        <w:ind w:firstLine="420" w:firstLineChars="200"/>
        <w:rPr>
          <w:rFonts w:ascii="宋体" w:hAnsi="宋体" w:cs="宋体"/>
          <w:szCs w:val="21"/>
        </w:rPr>
      </w:pPr>
    </w:p>
    <w:sectPr>
      <w:footerReference r:id="rId3" w:type="default"/>
      <w:pgSz w:w="11906" w:h="16838"/>
      <w:pgMar w:top="1417" w:right="1417" w:bottom="1417"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635"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LW7l30AAAAAIBAAAPAAAAAAAAAAEAIAAAACIAAABkcnMvZG93bnJldi54bWxQSwECFAAU&#10;AAAACACHTuJAbVTiofkBAAAABAAADgAAAAAAAAABACAAAAAfAQAAZHJzL2Uyb0RvYy54bWxQSwUG&#10;AAAAAAYABgBZAQAAigU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3MmRmOGVhNmEwZjliMzgxN2RhYzgzMGZjNDFhYmIifQ=="/>
  </w:docVars>
  <w:rsids>
    <w:rsidRoot w:val="00490E74"/>
    <w:rsid w:val="00002207"/>
    <w:rsid w:val="00011E73"/>
    <w:rsid w:val="0002337E"/>
    <w:rsid w:val="000500D9"/>
    <w:rsid w:val="00054CCB"/>
    <w:rsid w:val="00080450"/>
    <w:rsid w:val="000B7B49"/>
    <w:rsid w:val="000D3CB7"/>
    <w:rsid w:val="00127E15"/>
    <w:rsid w:val="00130529"/>
    <w:rsid w:val="001326BF"/>
    <w:rsid w:val="001465A6"/>
    <w:rsid w:val="00151760"/>
    <w:rsid w:val="001839EE"/>
    <w:rsid w:val="00185033"/>
    <w:rsid w:val="001A6072"/>
    <w:rsid w:val="001C05C1"/>
    <w:rsid w:val="001C6BA4"/>
    <w:rsid w:val="001E7F99"/>
    <w:rsid w:val="00200568"/>
    <w:rsid w:val="00216CBF"/>
    <w:rsid w:val="0022067F"/>
    <w:rsid w:val="002544CE"/>
    <w:rsid w:val="00281BD5"/>
    <w:rsid w:val="00282616"/>
    <w:rsid w:val="0028582B"/>
    <w:rsid w:val="0029532A"/>
    <w:rsid w:val="002C2136"/>
    <w:rsid w:val="002D0A5A"/>
    <w:rsid w:val="00303429"/>
    <w:rsid w:val="00307B59"/>
    <w:rsid w:val="00321539"/>
    <w:rsid w:val="00353B99"/>
    <w:rsid w:val="003A13DE"/>
    <w:rsid w:val="003A410B"/>
    <w:rsid w:val="003C153D"/>
    <w:rsid w:val="003C15C9"/>
    <w:rsid w:val="003C15F9"/>
    <w:rsid w:val="003F5135"/>
    <w:rsid w:val="004127D9"/>
    <w:rsid w:val="00422144"/>
    <w:rsid w:val="00457C19"/>
    <w:rsid w:val="00463454"/>
    <w:rsid w:val="00467EFA"/>
    <w:rsid w:val="00471DC9"/>
    <w:rsid w:val="00480586"/>
    <w:rsid w:val="00487480"/>
    <w:rsid w:val="00490E74"/>
    <w:rsid w:val="004A2AEA"/>
    <w:rsid w:val="004D2CF7"/>
    <w:rsid w:val="004D5437"/>
    <w:rsid w:val="004E2205"/>
    <w:rsid w:val="004F6DF7"/>
    <w:rsid w:val="00521E72"/>
    <w:rsid w:val="0054023A"/>
    <w:rsid w:val="0054651C"/>
    <w:rsid w:val="005477A3"/>
    <w:rsid w:val="0055762B"/>
    <w:rsid w:val="00561337"/>
    <w:rsid w:val="005770AA"/>
    <w:rsid w:val="005B2103"/>
    <w:rsid w:val="005F13F5"/>
    <w:rsid w:val="006247B6"/>
    <w:rsid w:val="00647871"/>
    <w:rsid w:val="00667402"/>
    <w:rsid w:val="0068737F"/>
    <w:rsid w:val="006D06A6"/>
    <w:rsid w:val="006D751D"/>
    <w:rsid w:val="006E0743"/>
    <w:rsid w:val="00721593"/>
    <w:rsid w:val="007253E4"/>
    <w:rsid w:val="0073437E"/>
    <w:rsid w:val="00747000"/>
    <w:rsid w:val="007A22DF"/>
    <w:rsid w:val="007A7C56"/>
    <w:rsid w:val="007D6B02"/>
    <w:rsid w:val="00813E65"/>
    <w:rsid w:val="00832158"/>
    <w:rsid w:val="00885D05"/>
    <w:rsid w:val="008B0F8A"/>
    <w:rsid w:val="008D178E"/>
    <w:rsid w:val="008E23AF"/>
    <w:rsid w:val="008E2711"/>
    <w:rsid w:val="008F29CE"/>
    <w:rsid w:val="00904707"/>
    <w:rsid w:val="00910FC0"/>
    <w:rsid w:val="00963379"/>
    <w:rsid w:val="0099366E"/>
    <w:rsid w:val="009D1FDB"/>
    <w:rsid w:val="009D2B88"/>
    <w:rsid w:val="009D3966"/>
    <w:rsid w:val="00A23F6B"/>
    <w:rsid w:val="00A30168"/>
    <w:rsid w:val="00A7241D"/>
    <w:rsid w:val="00A86AEF"/>
    <w:rsid w:val="00AE7DDB"/>
    <w:rsid w:val="00AF4B39"/>
    <w:rsid w:val="00B260CB"/>
    <w:rsid w:val="00B36245"/>
    <w:rsid w:val="00B41AEA"/>
    <w:rsid w:val="00B8178A"/>
    <w:rsid w:val="00B9092B"/>
    <w:rsid w:val="00BE6697"/>
    <w:rsid w:val="00BF77C1"/>
    <w:rsid w:val="00C2359F"/>
    <w:rsid w:val="00C332DE"/>
    <w:rsid w:val="00C64051"/>
    <w:rsid w:val="00CD1442"/>
    <w:rsid w:val="00CE4F28"/>
    <w:rsid w:val="00D17F9E"/>
    <w:rsid w:val="00D3771C"/>
    <w:rsid w:val="00D460A9"/>
    <w:rsid w:val="00D52B04"/>
    <w:rsid w:val="00D63DE0"/>
    <w:rsid w:val="00D8340E"/>
    <w:rsid w:val="00DB1498"/>
    <w:rsid w:val="00E22AB8"/>
    <w:rsid w:val="00E273C2"/>
    <w:rsid w:val="00E30273"/>
    <w:rsid w:val="00E34BB0"/>
    <w:rsid w:val="00E34D1D"/>
    <w:rsid w:val="00E6430D"/>
    <w:rsid w:val="00E66BD3"/>
    <w:rsid w:val="00E72663"/>
    <w:rsid w:val="00E74784"/>
    <w:rsid w:val="00E87DE8"/>
    <w:rsid w:val="00E9675B"/>
    <w:rsid w:val="00EA7638"/>
    <w:rsid w:val="00EC447E"/>
    <w:rsid w:val="00ED0C72"/>
    <w:rsid w:val="00EE2813"/>
    <w:rsid w:val="00F4699B"/>
    <w:rsid w:val="00FC0761"/>
    <w:rsid w:val="00FC0CF8"/>
    <w:rsid w:val="0BF14784"/>
    <w:rsid w:val="16975A64"/>
    <w:rsid w:val="183055C6"/>
    <w:rsid w:val="1B7E05FE"/>
    <w:rsid w:val="268808DD"/>
    <w:rsid w:val="32BA75A1"/>
    <w:rsid w:val="33D15DE5"/>
    <w:rsid w:val="34BA3338"/>
    <w:rsid w:val="3BA03A1A"/>
    <w:rsid w:val="4B0F7A27"/>
    <w:rsid w:val="510B404F"/>
    <w:rsid w:val="71F6720E"/>
    <w:rsid w:val="788E2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rPr>
      <w:szCs w:val="20"/>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页眉 字符"/>
    <w:basedOn w:val="7"/>
    <w:link w:val="4"/>
    <w:qFormat/>
    <w:uiPriority w:val="0"/>
    <w:rPr>
      <w:rFonts w:ascii="Calibri" w:hAnsi="Calibri" w:eastAsia="宋体" w:cs="Times New Roman"/>
      <w:sz w:val="18"/>
      <w:szCs w:val="18"/>
    </w:rPr>
  </w:style>
  <w:style w:type="character" w:customStyle="1" w:styleId="10">
    <w:name w:val="页脚 字符"/>
    <w:basedOn w:val="7"/>
    <w:link w:val="3"/>
    <w:qFormat/>
    <w:uiPriority w:val="0"/>
    <w:rPr>
      <w:rFonts w:ascii="Calibri" w:hAnsi="Calibri" w:eastAsia="宋体" w:cs="Times New Roman"/>
      <w:sz w:val="18"/>
      <w:szCs w:val="18"/>
    </w:rPr>
  </w:style>
  <w:style w:type="paragraph" w:styleId="11">
    <w:name w:val="List Paragraph"/>
    <w:basedOn w:val="1"/>
    <w:qFormat/>
    <w:uiPriority w:val="34"/>
    <w:pPr>
      <w:ind w:firstLine="420" w:firstLineChars="200"/>
    </w:pPr>
  </w:style>
  <w:style w:type="paragraph" w:styleId="12">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13">
    <w:name w:val="列出段落1"/>
    <w:basedOn w:val="1"/>
    <w:qFormat/>
    <w:uiPriority w:val="99"/>
    <w:pPr>
      <w:ind w:firstLine="420" w:firstLineChars="200"/>
    </w:pPr>
    <w:rPr>
      <w:szCs w:val="22"/>
    </w:rPr>
  </w:style>
  <w:style w:type="paragraph" w:customStyle="1" w:styleId="1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5">
    <w:name w:val="——正文E2"/>
    <w:basedOn w:val="1"/>
    <w:qFormat/>
    <w:uiPriority w:val="0"/>
    <w:pPr>
      <w:spacing w:line="360" w:lineRule="auto"/>
      <w:ind w:firstLine="480" w:firstLineChars="200"/>
    </w:pPr>
    <w:rPr>
      <w:rFonts w:ascii="仿宋_GB2312" w:hAnsi="宋体" w:eastAsia="仿宋_GB2312"/>
      <w:sz w:val="24"/>
    </w:rPr>
  </w:style>
  <w:style w:type="character" w:customStyle="1" w:styleId="16">
    <w:name w:val="font31"/>
    <w:basedOn w:val="7"/>
    <w:qFormat/>
    <w:uiPriority w:val="0"/>
    <w:rPr>
      <w:rFonts w:hint="eastAsia" w:ascii="宋体" w:hAnsi="宋体" w:eastAsia="宋体" w:cs="宋体"/>
      <w:color w:val="000000"/>
      <w:sz w:val="21"/>
      <w:szCs w:val="21"/>
      <w:u w:val="none"/>
    </w:rPr>
  </w:style>
  <w:style w:type="character" w:customStyle="1" w:styleId="17">
    <w:name w:val="font01"/>
    <w:basedOn w:val="7"/>
    <w:qFormat/>
    <w:uiPriority w:val="0"/>
    <w:rPr>
      <w:rFonts w:hint="eastAsia" w:ascii="宋体" w:hAnsi="宋体" w:eastAsia="宋体" w:cs="宋体"/>
      <w:b/>
      <w:color w:val="FF0000"/>
      <w:sz w:val="21"/>
      <w:szCs w:val="21"/>
      <w:u w:val="none"/>
    </w:rPr>
  </w:style>
  <w:style w:type="character" w:customStyle="1" w:styleId="18">
    <w:name w:val="font61"/>
    <w:basedOn w:val="7"/>
    <w:qFormat/>
    <w:uiPriority w:val="0"/>
    <w:rPr>
      <w:rFonts w:hint="eastAsia" w:ascii="宋体" w:hAnsi="宋体" w:eastAsia="宋体" w:cs="宋体"/>
      <w:b/>
      <w:color w:val="000000"/>
      <w:sz w:val="21"/>
      <w:szCs w:val="21"/>
      <w:u w:val="none"/>
    </w:rPr>
  </w:style>
  <w:style w:type="character" w:customStyle="1" w:styleId="19">
    <w:name w:val="font91"/>
    <w:basedOn w:val="7"/>
    <w:qFormat/>
    <w:uiPriority w:val="0"/>
    <w:rPr>
      <w:rFonts w:hint="eastAsia" w:ascii="宋体" w:hAnsi="宋体" w:eastAsia="宋体" w:cs="宋体"/>
      <w:b/>
      <w:color w:val="000000"/>
      <w:sz w:val="21"/>
      <w:szCs w:val="21"/>
      <w:u w:val="none"/>
    </w:rPr>
  </w:style>
  <w:style w:type="character" w:customStyle="1" w:styleId="20">
    <w:name w:val="font41"/>
    <w:basedOn w:val="7"/>
    <w:qFormat/>
    <w:uiPriority w:val="0"/>
    <w:rPr>
      <w:rFonts w:hint="eastAsia" w:ascii="宋体" w:hAnsi="宋体" w:eastAsia="宋体" w:cs="宋体"/>
      <w:color w:val="000000"/>
      <w:sz w:val="21"/>
      <w:szCs w:val="21"/>
      <w:u w:val="none"/>
    </w:rPr>
  </w:style>
  <w:style w:type="character" w:customStyle="1" w:styleId="21">
    <w:name w:val="font11"/>
    <w:basedOn w:val="7"/>
    <w:qFormat/>
    <w:uiPriority w:val="0"/>
    <w:rPr>
      <w:rFonts w:hint="default" w:ascii="Times New Roman" w:hAnsi="Times New Roman" w:cs="Times New Roman"/>
      <w:color w:val="000000"/>
      <w:sz w:val="21"/>
      <w:szCs w:val="21"/>
      <w:u w:val="none"/>
    </w:rPr>
  </w:style>
  <w:style w:type="character" w:customStyle="1" w:styleId="22">
    <w:name w:val="font81"/>
    <w:basedOn w:val="7"/>
    <w:qFormat/>
    <w:uiPriority w:val="0"/>
    <w:rPr>
      <w:rFonts w:hint="eastAsia" w:ascii="宋体" w:hAnsi="宋体" w:eastAsia="宋体" w:cs="宋体"/>
      <w:b/>
      <w:bCs/>
      <w:color w:val="FF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070877-0E90-4EDB-8E9F-2C85447B7D4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13229</Words>
  <Characters>14020</Characters>
  <Lines>115</Lines>
  <Paragraphs>32</Paragraphs>
  <TotalTime>0</TotalTime>
  <ScaleCrop>false</ScaleCrop>
  <LinksUpToDate>false</LinksUpToDate>
  <CharactersWithSpaces>14503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2022-08-28T15:14:00Z</dcterms:created>
  <dc:creator>微软用户</dc:creator>
  <cp:lastModifiedBy>alin</cp:lastModifiedBy>
  <dcterms:modified xsi:type="dcterms:W3CDTF">2022-08-31T10:28:43Z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9461C96A76B4437F91E6936BCA93A46C</vt:lpwstr>
  </property>
</Properties>
</file>