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8" w:afterLines="25" w:line="480" w:lineRule="auto"/>
        <w:jc w:val="center"/>
      </w:pPr>
      <w:r>
        <w:fldChar w:fldCharType="begin"/>
      </w:r>
      <w:r>
        <w:instrText xml:space="preserve"> INCLUDEPICTURE "https://gss2.bdstatic.com/9fo3dSag_xI4khGkpoWK1HF6hhy/baike/s%3D220/sign=9de876ecaeec08fa220014a569ef3d4d/3bf33a87e950352aacb7f75b5d43fbf2b3118b8b.jpg" \* MERGEFORMATINET </w:instrText>
      </w:r>
      <w:r>
        <w:fldChar w:fldCharType="separate"/>
      </w:r>
      <w:r>
        <w:drawing>
          <wp:inline distT="0" distB="0" distL="114300" distR="114300">
            <wp:extent cx="1224280" cy="1174750"/>
            <wp:effectExtent l="0" t="0" r="7620" b="6350"/>
            <wp:docPr id="5" name="图片 1" descr="3bf33a87e950352aacb7f75b5d43fbf2b3118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bf33a87e950352aacb7f75b5d43fbf2b3118b8b"/>
                    <pic:cNvPicPr>
                      <a:picLocks noChangeAspect="1"/>
                    </pic:cNvPicPr>
                  </pic:nvPicPr>
                  <pic:blipFill>
                    <a:blip r:embed="rId5"/>
                    <a:stretch>
                      <a:fillRect/>
                    </a:stretch>
                  </pic:blipFill>
                  <pic:spPr>
                    <a:xfrm>
                      <a:off x="0" y="0"/>
                      <a:ext cx="1224280" cy="1174750"/>
                    </a:xfrm>
                    <a:prstGeom prst="rect">
                      <a:avLst/>
                    </a:prstGeom>
                    <a:noFill/>
                    <a:ln>
                      <a:noFill/>
                    </a:ln>
                  </pic:spPr>
                </pic:pic>
              </a:graphicData>
            </a:graphic>
          </wp:inline>
        </w:drawing>
      </w:r>
      <w:r>
        <w:fldChar w:fldCharType="end"/>
      </w:r>
    </w:p>
    <w:p>
      <w:pPr>
        <w:widowControl/>
        <w:spacing w:after="78" w:afterLines="25" w:line="48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广东茂名农林科技职业学院</w:t>
      </w:r>
    </w:p>
    <w:p>
      <w:pPr>
        <w:widowControl/>
        <w:spacing w:after="78" w:afterLines="25" w:line="480" w:lineRule="auto"/>
        <w:jc w:val="center"/>
        <w:rPr>
          <w:rFonts w:hint="eastAsia" w:ascii="黑体" w:hAnsi="黑体" w:eastAsia="黑体" w:cs="黑体"/>
          <w:b/>
          <w:bCs/>
          <w:kern w:val="0"/>
          <w:sz w:val="48"/>
          <w:szCs w:val="48"/>
          <w:lang w:val="en-US" w:eastAsia="zh-CN"/>
        </w:rPr>
      </w:pPr>
      <w:r>
        <w:rPr>
          <w:rFonts w:hint="eastAsia" w:ascii="黑体" w:hAnsi="黑体" w:eastAsia="黑体" w:cs="黑体"/>
          <w:b/>
          <w:bCs/>
          <w:kern w:val="0"/>
          <w:sz w:val="52"/>
          <w:szCs w:val="52"/>
        </w:rPr>
        <w:t>专业人才培养方案</w:t>
      </w:r>
      <w:r>
        <w:rPr>
          <w:rFonts w:hint="eastAsia" w:ascii="黑体" w:hAnsi="黑体" w:eastAsia="黑体" w:cs="黑体"/>
          <w:b/>
          <w:bCs/>
          <w:kern w:val="0"/>
          <w:sz w:val="52"/>
          <w:szCs w:val="52"/>
          <w:lang w:eastAsia="zh-CN"/>
        </w:rPr>
        <w:t>（</w:t>
      </w:r>
      <w:r>
        <w:rPr>
          <w:rFonts w:hint="eastAsia" w:ascii="黑体" w:hAnsi="黑体" w:eastAsia="黑体" w:cs="黑体"/>
          <w:b/>
          <w:bCs/>
          <w:kern w:val="0"/>
          <w:sz w:val="52"/>
          <w:szCs w:val="52"/>
          <w:lang w:val="en-US" w:eastAsia="zh-CN"/>
        </w:rPr>
        <w:t>修订版）</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w:t>
      </w:r>
      <w:r>
        <w:rPr>
          <w:rFonts w:hint="eastAsia" w:ascii="宋体" w:hAnsi="宋体" w:cs="宋体"/>
          <w:b/>
          <w:bCs/>
          <w:kern w:val="0"/>
          <w:sz w:val="32"/>
          <w:szCs w:val="32"/>
          <w:highlight w:val="none"/>
        </w:rPr>
        <w:t>202</w:t>
      </w:r>
      <w:r>
        <w:rPr>
          <w:rFonts w:hint="eastAsia" w:ascii="宋体" w:hAnsi="宋体" w:cs="宋体"/>
          <w:b/>
          <w:bCs/>
          <w:kern w:val="0"/>
          <w:sz w:val="32"/>
          <w:szCs w:val="32"/>
          <w:highlight w:val="none"/>
          <w:lang w:val="en-US" w:eastAsia="zh-CN"/>
        </w:rPr>
        <w:t>2</w:t>
      </w:r>
      <w:r>
        <w:rPr>
          <w:rFonts w:hint="eastAsia" w:ascii="宋体" w:hAnsi="宋体" w:cs="宋体"/>
          <w:b/>
          <w:bCs/>
          <w:kern w:val="0"/>
          <w:sz w:val="32"/>
          <w:szCs w:val="32"/>
          <w:highlight w:val="none"/>
        </w:rPr>
        <w:t>级)</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ind w:firstLine="1446" w:firstLineChars="400"/>
        <w:jc w:val="left"/>
        <w:rPr>
          <w:rFonts w:ascii="仿宋" w:hAnsi="仿宋" w:eastAsia="仿宋" w:cs="仿宋"/>
          <w:b/>
          <w:bCs/>
        </w:rPr>
      </w:pPr>
      <w:r>
        <w:rPr>
          <w:rFonts w:hint="eastAsia" w:ascii="仿宋" w:hAnsi="仿宋" w:eastAsia="仿宋" w:cs="仿宋"/>
          <w:b/>
          <w:bCs/>
          <w:color w:val="000000"/>
          <w:kern w:val="0"/>
          <w:sz w:val="36"/>
          <w:szCs w:val="36"/>
          <w:lang w:bidi="ar"/>
        </w:rPr>
        <w:t xml:space="preserve">专 业 名 称 </w:t>
      </w:r>
      <w:r>
        <w:rPr>
          <w:rFonts w:hint="eastAsia" w:ascii="仿宋" w:hAnsi="仿宋" w:eastAsia="仿宋" w:cs="仿宋"/>
          <w:b/>
          <w:bCs/>
          <w:color w:val="000000"/>
          <w:kern w:val="0"/>
          <w:sz w:val="36"/>
          <w:szCs w:val="36"/>
          <w:u w:val="single"/>
          <w:lang w:bidi="ar"/>
        </w:rPr>
        <w:t xml:space="preserve"> 食品检验检测技术 </w:t>
      </w:r>
    </w:p>
    <w:p>
      <w:pPr>
        <w:widowControl/>
        <w:ind w:firstLine="1446" w:firstLineChars="400"/>
        <w:jc w:val="left"/>
        <w:rPr>
          <w:rFonts w:ascii="仿宋" w:hAnsi="仿宋" w:eastAsia="仿宋" w:cs="仿宋"/>
          <w:b/>
          <w:bCs/>
          <w:u w:val="single"/>
        </w:rPr>
      </w:pPr>
      <w:r>
        <w:rPr>
          <w:rFonts w:hint="eastAsia" w:ascii="仿宋" w:hAnsi="仿宋" w:eastAsia="仿宋" w:cs="仿宋"/>
          <w:b/>
          <w:bCs/>
          <w:color w:val="000000"/>
          <w:kern w:val="0"/>
          <w:sz w:val="36"/>
          <w:szCs w:val="36"/>
          <w:lang w:bidi="ar"/>
        </w:rPr>
        <w:t xml:space="preserve">专 业 代 码 </w:t>
      </w:r>
      <w:r>
        <w:rPr>
          <w:rFonts w:hint="eastAsia" w:ascii="仿宋" w:hAnsi="仿宋" w:eastAsia="仿宋" w:cs="仿宋"/>
          <w:b/>
          <w:bCs/>
          <w:color w:val="000000"/>
          <w:kern w:val="0"/>
          <w:sz w:val="36"/>
          <w:szCs w:val="36"/>
          <w:u w:val="single"/>
          <w:lang w:bidi="ar"/>
        </w:rPr>
        <w:t xml:space="preserve">     490104       </w:t>
      </w:r>
    </w:p>
    <w:p>
      <w:pPr>
        <w:widowControl/>
        <w:ind w:firstLine="1446" w:firstLineChars="400"/>
        <w:jc w:val="left"/>
        <w:rPr>
          <w:rFonts w:ascii="仿宋" w:hAnsi="仿宋" w:eastAsia="仿宋" w:cs="仿宋"/>
          <w:b/>
          <w:bCs/>
        </w:rPr>
      </w:pPr>
      <w:r>
        <w:rPr>
          <w:rFonts w:hint="eastAsia" w:ascii="仿宋" w:hAnsi="仿宋" w:eastAsia="仿宋" w:cs="仿宋"/>
          <w:b/>
          <w:bCs/>
          <w:color w:val="000000"/>
          <w:kern w:val="0"/>
          <w:sz w:val="36"/>
          <w:szCs w:val="36"/>
          <w:lang w:val="en-US" w:eastAsia="zh-CN" w:bidi="ar"/>
        </w:rPr>
        <w:t>修</w:t>
      </w:r>
      <w:r>
        <w:rPr>
          <w:rFonts w:hint="eastAsia" w:ascii="仿宋" w:hAnsi="仿宋" w:eastAsia="仿宋" w:cs="仿宋"/>
          <w:b/>
          <w:bCs/>
          <w:color w:val="000000"/>
          <w:kern w:val="0"/>
          <w:sz w:val="36"/>
          <w:szCs w:val="36"/>
          <w:lang w:bidi="ar"/>
        </w:rPr>
        <w:t xml:space="preserve"> 订 部 门 </w:t>
      </w:r>
      <w:r>
        <w:rPr>
          <w:rFonts w:hint="eastAsia" w:ascii="仿宋" w:hAnsi="仿宋" w:eastAsia="仿宋" w:cs="仿宋"/>
          <w:b/>
          <w:bCs/>
          <w:color w:val="000000"/>
          <w:kern w:val="0"/>
          <w:sz w:val="36"/>
          <w:szCs w:val="36"/>
          <w:u w:val="single"/>
          <w:lang w:bidi="ar"/>
        </w:rPr>
        <w:t xml:space="preserve">   食品工程系     </w:t>
      </w:r>
    </w:p>
    <w:p>
      <w:pPr>
        <w:widowControl/>
        <w:ind w:firstLine="1446" w:firstLineChars="400"/>
        <w:jc w:val="left"/>
      </w:pPr>
      <w:r>
        <w:rPr>
          <w:rFonts w:hint="eastAsia" w:ascii="仿宋" w:hAnsi="仿宋" w:eastAsia="仿宋" w:cs="仿宋"/>
          <w:b/>
          <w:bCs/>
          <w:color w:val="000000"/>
          <w:kern w:val="0"/>
          <w:sz w:val="36"/>
          <w:szCs w:val="36"/>
          <w:lang w:val="en-US" w:eastAsia="zh-CN" w:bidi="ar"/>
        </w:rPr>
        <w:t>修</w:t>
      </w:r>
      <w:bookmarkStart w:id="0" w:name="_GoBack"/>
      <w:bookmarkEnd w:id="0"/>
      <w:r>
        <w:rPr>
          <w:rFonts w:hint="eastAsia" w:ascii="仿宋" w:hAnsi="仿宋" w:eastAsia="仿宋" w:cs="仿宋"/>
          <w:b/>
          <w:bCs/>
          <w:color w:val="000000"/>
          <w:kern w:val="0"/>
          <w:sz w:val="36"/>
          <w:szCs w:val="36"/>
          <w:lang w:bidi="ar"/>
        </w:rPr>
        <w:t xml:space="preserve"> 订 时 间 </w:t>
      </w:r>
      <w:r>
        <w:rPr>
          <w:rFonts w:hint="eastAsia" w:ascii="仿宋" w:hAnsi="仿宋" w:eastAsia="仿宋" w:cs="仿宋"/>
          <w:b/>
          <w:bCs/>
          <w:color w:val="000000"/>
          <w:kern w:val="0"/>
          <w:sz w:val="36"/>
          <w:szCs w:val="36"/>
          <w:u w:val="single"/>
          <w:lang w:bidi="ar"/>
        </w:rPr>
        <w:t xml:space="preserve">    </w:t>
      </w:r>
      <w:r>
        <w:rPr>
          <w:rFonts w:hint="eastAsia" w:ascii="仿宋" w:hAnsi="仿宋" w:eastAsia="仿宋" w:cs="仿宋"/>
          <w:b/>
          <w:bCs/>
          <w:color w:val="000000"/>
          <w:kern w:val="0"/>
          <w:sz w:val="36"/>
          <w:szCs w:val="36"/>
          <w:u w:val="single"/>
          <w:lang w:val="en-US" w:eastAsia="zh-CN" w:bidi="ar"/>
        </w:rPr>
        <w:t>2022年6月</w:t>
      </w:r>
      <w:r>
        <w:rPr>
          <w:rFonts w:hint="eastAsia" w:ascii="仿宋" w:hAnsi="仿宋" w:eastAsia="仿宋" w:cs="仿宋"/>
          <w:b/>
          <w:bCs/>
          <w:color w:val="000000"/>
          <w:kern w:val="0"/>
          <w:sz w:val="36"/>
          <w:szCs w:val="36"/>
          <w:u w:val="single"/>
          <w:lang w:bidi="ar"/>
        </w:rPr>
        <w:t xml:space="preserve">   </w:t>
      </w:r>
    </w:p>
    <w:p>
      <w:pPr>
        <w:rPr>
          <w:rFonts w:ascii="Times New Roman" w:hAnsi="Times New Roman" w:eastAsia="黑体" w:cs="Times New Roman"/>
          <w:kern w:val="0"/>
          <w:sz w:val="44"/>
          <w:szCs w:val="44"/>
        </w:rPr>
      </w:pPr>
    </w:p>
    <w:p>
      <w:pPr>
        <w:jc w:val="center"/>
        <w:rPr>
          <w:rFonts w:ascii="Times New Roman" w:hAnsi="Times New Roman" w:eastAsia="黑体" w:cs="Times New Roman"/>
          <w:kern w:val="0"/>
          <w:sz w:val="44"/>
          <w:szCs w:val="44"/>
        </w:rPr>
      </w:pPr>
      <w:r>
        <w:rPr>
          <w:rFonts w:hint="eastAsia" w:ascii="Times New Roman" w:hAnsi="Times New Roman" w:eastAsia="黑体" w:cs="Times New Roman"/>
          <w:kern w:val="0"/>
          <w:sz w:val="28"/>
          <w:szCs w:val="28"/>
        </w:rPr>
        <w:t>广东茂名农林科技职业学院制</w:t>
      </w:r>
    </w:p>
    <w:p>
      <w:pPr>
        <w:jc w:val="center"/>
        <w:rPr>
          <w:rFonts w:ascii="Times New Roman" w:hAnsi="Times New Roman" w:eastAsia="黑体" w:cs="Times New Roman"/>
          <w:kern w:val="0"/>
          <w:sz w:val="44"/>
          <w:szCs w:val="44"/>
        </w:rPr>
        <w:sectPr>
          <w:type w:val="oddPage"/>
          <w:pgSz w:w="11906" w:h="16838"/>
          <w:pgMar w:top="1417" w:right="1417" w:bottom="1417" w:left="1417" w:header="851" w:footer="992" w:gutter="0"/>
          <w:cols w:space="0" w:num="1"/>
          <w:docGrid w:type="lines" w:linePitch="312" w:charSpace="0"/>
        </w:sectPr>
      </w:pPr>
    </w:p>
    <w:p>
      <w:pPr>
        <w:jc w:val="center"/>
        <w:rPr>
          <w:rFonts w:ascii="Times New Roman" w:hAnsi="宋体" w:eastAsia="黑体" w:cs="Times New Roman"/>
          <w:kern w:val="0"/>
          <w:sz w:val="44"/>
          <w:szCs w:val="44"/>
        </w:rPr>
      </w:pPr>
      <w:r>
        <w:rPr>
          <w:rFonts w:hint="eastAsia" w:ascii="Times New Roman" w:hAnsi="Times New Roman" w:eastAsia="黑体" w:cs="Times New Roman"/>
          <w:kern w:val="0"/>
          <w:sz w:val="44"/>
          <w:szCs w:val="44"/>
        </w:rPr>
        <w:t>食品检验检测技术</w:t>
      </w:r>
      <w:r>
        <w:rPr>
          <w:rFonts w:ascii="Times New Roman" w:hAnsi="宋体" w:eastAsia="黑体" w:cs="Times New Roman"/>
          <w:kern w:val="0"/>
          <w:sz w:val="44"/>
          <w:szCs w:val="44"/>
        </w:rPr>
        <w:t>专业人才培养方案</w:t>
      </w:r>
    </w:p>
    <w:p>
      <w:pPr>
        <w:jc w:val="center"/>
        <w:rPr>
          <w:rFonts w:ascii="黑体" w:hAnsi="宋体" w:eastAsia="黑体"/>
          <w:color w:val="FF0000"/>
          <w:kern w:val="0"/>
          <w:sz w:val="24"/>
        </w:rPr>
      </w:pPr>
    </w:p>
    <w:p>
      <w:pPr>
        <w:spacing w:line="360" w:lineRule="auto"/>
        <w:ind w:firstLine="560" w:firstLineChars="200"/>
        <w:outlineLvl w:val="1"/>
        <w:rPr>
          <w:rFonts w:ascii="Times New Roman" w:hAnsi="Times New Roman" w:eastAsia="黑体" w:cs="Times New Roman"/>
          <w:color w:val="FF0000"/>
          <w:sz w:val="28"/>
          <w:szCs w:val="28"/>
        </w:rPr>
      </w:pPr>
      <w:r>
        <w:rPr>
          <w:rFonts w:ascii="Times New Roman" w:hAnsi="Times New Roman" w:eastAsia="黑体" w:cs="Times New Roman"/>
          <w:sz w:val="28"/>
          <w:szCs w:val="28"/>
        </w:rPr>
        <w:t>一、专业名称及代码</w:t>
      </w:r>
    </w:p>
    <w:p>
      <w:pPr>
        <w:spacing w:line="360" w:lineRule="auto"/>
        <w:ind w:firstLine="422" w:firstLineChars="200"/>
        <w:rPr>
          <w:rFonts w:ascii="宋体" w:hAnsi="宋体" w:eastAsia="宋体" w:cs="微软雅黑"/>
          <w:b/>
          <w:bCs/>
          <w:szCs w:val="21"/>
        </w:rPr>
      </w:pPr>
      <w:r>
        <w:rPr>
          <w:rFonts w:hint="eastAsia" w:ascii="宋体" w:hAnsi="宋体" w:eastAsia="宋体" w:cs="微软雅黑"/>
          <w:b/>
          <w:bCs/>
          <w:szCs w:val="21"/>
        </w:rPr>
        <w:t>专业名称：</w:t>
      </w:r>
      <w:r>
        <w:rPr>
          <w:rFonts w:hint="eastAsia" w:ascii="宋体" w:hAnsi="宋体" w:eastAsia="宋体"/>
        </w:rPr>
        <w:t>食品检验检测技术</w:t>
      </w:r>
    </w:p>
    <w:p>
      <w:pPr>
        <w:spacing w:line="360" w:lineRule="auto"/>
        <w:ind w:firstLine="422" w:firstLineChars="200"/>
        <w:rPr>
          <w:rFonts w:ascii="宋体" w:hAnsi="宋体" w:eastAsia="宋体" w:cs="微软雅黑"/>
          <w:szCs w:val="21"/>
        </w:rPr>
      </w:pPr>
      <w:r>
        <w:rPr>
          <w:rFonts w:hint="eastAsia" w:ascii="宋体" w:hAnsi="宋体" w:eastAsia="宋体" w:cs="微软雅黑"/>
          <w:b/>
          <w:bCs/>
          <w:szCs w:val="21"/>
        </w:rPr>
        <w:t>专业代码：</w:t>
      </w:r>
      <w:r>
        <w:rPr>
          <w:rFonts w:hint="eastAsia" w:ascii="宋体" w:hAnsi="宋体" w:eastAsia="宋体"/>
        </w:rPr>
        <w:t>490104</w:t>
      </w:r>
    </w:p>
    <w:p>
      <w:pPr>
        <w:spacing w:line="360" w:lineRule="auto"/>
        <w:ind w:firstLine="560" w:firstLineChars="200"/>
        <w:outlineLvl w:val="1"/>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rPr>
        <w:t>二</w:t>
      </w:r>
      <w:r>
        <w:rPr>
          <w:rFonts w:ascii="Times New Roman" w:hAnsi="Times New Roman" w:eastAsia="黑体" w:cs="Times New Roman"/>
          <w:sz w:val="28"/>
          <w:szCs w:val="28"/>
        </w:rPr>
        <w:t>、</w:t>
      </w:r>
      <w:r>
        <w:rPr>
          <w:rFonts w:hint="eastAsia" w:ascii="Times New Roman" w:hAnsi="Times New Roman" w:eastAsia="黑体" w:cs="Times New Roman"/>
          <w:sz w:val="28"/>
          <w:szCs w:val="28"/>
          <w:highlight w:val="none"/>
        </w:rPr>
        <w:t>入学要求</w:t>
      </w:r>
    </w:p>
    <w:p>
      <w:pPr>
        <w:spacing w:line="360" w:lineRule="auto"/>
        <w:ind w:firstLine="420" w:firstLineChars="200"/>
        <w:outlineLvl w:val="1"/>
        <w:rPr>
          <w:rFonts w:hint="eastAsia" w:ascii="宋体" w:hAnsi="宋体" w:eastAsia="宋体"/>
        </w:rPr>
      </w:pPr>
      <w:r>
        <w:rPr>
          <w:rFonts w:hint="eastAsia" w:ascii="宋体" w:hAnsi="宋体" w:eastAsia="宋体"/>
          <w:lang w:val="en-US" w:eastAsia="zh-CN"/>
        </w:rPr>
        <w:t>一般为高中阶段教育毕业生或具有同等学力者。</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三</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修业年限</w:t>
      </w:r>
    </w:p>
    <w:p>
      <w:pPr>
        <w:spacing w:line="360" w:lineRule="auto"/>
        <w:ind w:firstLine="420" w:firstLineChars="200"/>
        <w:outlineLvl w:val="1"/>
        <w:rPr>
          <w:rFonts w:hint="eastAsia" w:ascii="宋体" w:hAnsi="宋体" w:eastAsia="宋体"/>
          <w:lang w:val="en-US" w:eastAsia="zh-CN"/>
        </w:rPr>
      </w:pPr>
      <w:r>
        <w:rPr>
          <w:rFonts w:hint="eastAsia" w:ascii="宋体" w:hAnsi="宋体" w:eastAsia="宋体"/>
          <w:lang w:val="en-US" w:eastAsia="zh-CN"/>
        </w:rPr>
        <w:t>本专业以 3 年为主，允许入伍或有创新创业等需求的学生适当延长修业年限。</w:t>
      </w:r>
    </w:p>
    <w:p>
      <w:pPr>
        <w:numPr>
          <w:ilvl w:val="0"/>
          <w:numId w:val="1"/>
        </w:numPr>
        <w:spacing w:line="360" w:lineRule="auto"/>
        <w:ind w:firstLine="560" w:firstLineChars="200"/>
        <w:outlineLvl w:val="1"/>
        <w:rPr>
          <w:rFonts w:ascii="Times New Roman" w:hAnsi="Times New Roman" w:eastAsia="黑体" w:cs="Times New Roman"/>
          <w:sz w:val="28"/>
          <w:szCs w:val="28"/>
        </w:rPr>
      </w:pPr>
      <w:r>
        <w:rPr>
          <w:rFonts w:ascii="Times New Roman" w:hAnsi="Times New Roman" w:eastAsia="黑体" w:cs="Times New Roman"/>
          <w:sz w:val="28"/>
          <w:szCs w:val="28"/>
        </w:rPr>
        <w:t>职业面向</w:t>
      </w:r>
    </w:p>
    <w:p>
      <w:pPr>
        <w:spacing w:line="360" w:lineRule="auto"/>
        <w:ind w:firstLine="420" w:firstLineChars="200"/>
        <w:rPr>
          <w:rFonts w:hint="eastAsia" w:ascii="宋体" w:hAnsi="宋体" w:eastAsia="宋体" w:cs="微软雅黑"/>
          <w:szCs w:val="21"/>
        </w:rPr>
      </w:pPr>
      <w:r>
        <w:rPr>
          <w:rFonts w:hint="eastAsia" w:ascii="宋体" w:hAnsi="宋体" w:eastAsia="宋体" w:cs="微软雅黑"/>
          <w:szCs w:val="21"/>
        </w:rPr>
        <w:t>食品检验检测技术专业职业面向一览表如表一所示。</w:t>
      </w:r>
    </w:p>
    <w:p>
      <w:pPr>
        <w:spacing w:line="360" w:lineRule="auto"/>
        <w:jc w:val="center"/>
        <w:rPr>
          <w:rFonts w:ascii="Times New Roman" w:hAnsi="Times New Roman" w:eastAsia="黑体" w:cs="Times New Roman"/>
          <w:sz w:val="28"/>
          <w:szCs w:val="28"/>
        </w:rPr>
      </w:pPr>
      <w:r>
        <w:rPr>
          <w:rFonts w:hint="eastAsia" w:ascii="宋体" w:hAnsi="宋体" w:eastAsia="宋体" w:cs="微软雅黑"/>
          <w:szCs w:val="21"/>
        </w:rPr>
        <w:t>表一</w:t>
      </w:r>
      <w:r>
        <w:rPr>
          <w:rFonts w:ascii="宋体" w:hAnsi="宋体" w:eastAsia="宋体" w:cs="微软雅黑"/>
          <w:szCs w:val="21"/>
        </w:rPr>
        <w:t xml:space="preserve">  </w:t>
      </w:r>
      <w:r>
        <w:rPr>
          <w:rFonts w:hint="eastAsia" w:ascii="宋体" w:hAnsi="宋体" w:eastAsia="宋体" w:cs="微软雅黑"/>
          <w:szCs w:val="21"/>
        </w:rPr>
        <w:t>食品检验检测技术专业职业面向一览表</w:t>
      </w:r>
    </w:p>
    <w:tbl>
      <w:tblPr>
        <w:tblStyle w:val="125"/>
        <w:tblW w:w="8240"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5"/>
        <w:gridCol w:w="1126"/>
        <w:gridCol w:w="1542"/>
        <w:gridCol w:w="2051"/>
        <w:gridCol w:w="10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295" w:type="dxa"/>
            <w:vAlign w:val="top"/>
          </w:tcPr>
          <w:p>
            <w:pPr>
              <w:jc w:val="center"/>
              <w:rPr>
                <w:rFonts w:hint="eastAsia" w:ascii="宋体" w:hAnsi="宋体" w:eastAsia="宋体"/>
                <w:b/>
                <w:bCs/>
              </w:rPr>
            </w:pPr>
            <w:r>
              <w:rPr>
                <w:rFonts w:hint="eastAsia" w:ascii="宋体" w:hAnsi="宋体" w:eastAsia="宋体"/>
                <w:b/>
                <w:bCs/>
              </w:rPr>
              <w:t>所属专业大 类(代码)</w:t>
            </w:r>
          </w:p>
        </w:tc>
        <w:tc>
          <w:tcPr>
            <w:tcW w:w="1126" w:type="dxa"/>
            <w:vAlign w:val="top"/>
          </w:tcPr>
          <w:p>
            <w:pPr>
              <w:jc w:val="center"/>
              <w:rPr>
                <w:rFonts w:hint="eastAsia" w:ascii="宋体" w:hAnsi="宋体" w:eastAsia="宋体"/>
                <w:b/>
                <w:bCs/>
              </w:rPr>
            </w:pPr>
            <w:r>
              <w:rPr>
                <w:rFonts w:hint="eastAsia" w:ascii="宋体" w:hAnsi="宋体" w:eastAsia="宋体"/>
                <w:b/>
                <w:bCs/>
              </w:rPr>
              <w:t>所属专业类</w:t>
            </w:r>
          </w:p>
          <w:p>
            <w:pPr>
              <w:jc w:val="center"/>
              <w:rPr>
                <w:rFonts w:hint="eastAsia" w:ascii="宋体" w:hAnsi="宋体" w:eastAsia="宋体"/>
                <w:b/>
                <w:bCs/>
              </w:rPr>
            </w:pPr>
            <w:r>
              <w:rPr>
                <w:rFonts w:hint="eastAsia" w:ascii="宋体" w:hAnsi="宋体" w:eastAsia="宋体"/>
                <w:b/>
                <w:bCs/>
              </w:rPr>
              <w:t>(代码)</w:t>
            </w:r>
          </w:p>
        </w:tc>
        <w:tc>
          <w:tcPr>
            <w:tcW w:w="1542" w:type="dxa"/>
            <w:vAlign w:val="top"/>
          </w:tcPr>
          <w:p>
            <w:pPr>
              <w:jc w:val="center"/>
              <w:rPr>
                <w:rFonts w:hint="eastAsia" w:ascii="宋体" w:hAnsi="宋体" w:eastAsia="宋体"/>
                <w:b/>
                <w:bCs/>
              </w:rPr>
            </w:pPr>
            <w:r>
              <w:rPr>
                <w:rFonts w:hint="eastAsia" w:ascii="宋体" w:hAnsi="宋体" w:eastAsia="宋体"/>
                <w:b/>
                <w:bCs/>
              </w:rPr>
              <w:t>对应行业类别</w:t>
            </w:r>
          </w:p>
          <w:p>
            <w:pPr>
              <w:jc w:val="center"/>
              <w:rPr>
                <w:rFonts w:hint="eastAsia" w:ascii="宋体" w:hAnsi="宋体" w:eastAsia="宋体"/>
                <w:b/>
                <w:bCs/>
              </w:rPr>
            </w:pPr>
            <w:r>
              <w:rPr>
                <w:rFonts w:hint="eastAsia" w:ascii="宋体" w:hAnsi="宋体" w:eastAsia="宋体"/>
                <w:b/>
                <w:bCs/>
              </w:rPr>
              <w:t>(代码)</w:t>
            </w:r>
          </w:p>
        </w:tc>
        <w:tc>
          <w:tcPr>
            <w:tcW w:w="2051" w:type="dxa"/>
            <w:vAlign w:val="top"/>
          </w:tcPr>
          <w:p>
            <w:pPr>
              <w:jc w:val="center"/>
              <w:rPr>
                <w:rFonts w:hint="eastAsia" w:ascii="宋体" w:hAnsi="宋体" w:eastAsia="宋体"/>
                <w:b/>
                <w:bCs/>
              </w:rPr>
            </w:pPr>
            <w:r>
              <w:rPr>
                <w:rFonts w:hint="eastAsia" w:ascii="宋体" w:hAnsi="宋体" w:eastAsia="宋体"/>
                <w:b/>
                <w:bCs/>
              </w:rPr>
              <w:t>主要职业类别</w:t>
            </w:r>
          </w:p>
          <w:p>
            <w:pPr>
              <w:jc w:val="center"/>
              <w:rPr>
                <w:rFonts w:hint="eastAsia" w:ascii="宋体" w:hAnsi="宋体" w:eastAsia="宋体"/>
                <w:b/>
                <w:bCs/>
              </w:rPr>
            </w:pPr>
            <w:r>
              <w:rPr>
                <w:rFonts w:hint="eastAsia" w:ascii="宋体" w:hAnsi="宋体" w:eastAsia="宋体"/>
                <w:b/>
                <w:bCs/>
              </w:rPr>
              <w:t>(代码)</w:t>
            </w:r>
          </w:p>
        </w:tc>
        <w:tc>
          <w:tcPr>
            <w:tcW w:w="1067" w:type="dxa"/>
            <w:vAlign w:val="top"/>
          </w:tcPr>
          <w:p>
            <w:pPr>
              <w:jc w:val="center"/>
              <w:rPr>
                <w:rFonts w:hint="eastAsia" w:ascii="宋体" w:hAnsi="宋体" w:eastAsia="宋体"/>
                <w:b/>
                <w:bCs/>
              </w:rPr>
            </w:pPr>
            <w:r>
              <w:rPr>
                <w:rFonts w:hint="eastAsia" w:ascii="宋体" w:hAnsi="宋体" w:eastAsia="宋体"/>
                <w:b/>
                <w:bCs/>
              </w:rPr>
              <w:t>主要岗位</w:t>
            </w:r>
          </w:p>
          <w:p>
            <w:pPr>
              <w:jc w:val="center"/>
              <w:rPr>
                <w:rFonts w:hint="eastAsia" w:ascii="宋体" w:hAnsi="宋体" w:eastAsia="宋体"/>
                <w:b/>
                <w:bCs/>
              </w:rPr>
            </w:pPr>
            <w:r>
              <w:rPr>
                <w:rFonts w:hint="eastAsia" w:ascii="宋体" w:hAnsi="宋体" w:eastAsia="宋体"/>
                <w:b/>
                <w:bCs/>
              </w:rPr>
              <w:t>群或技术</w:t>
            </w:r>
          </w:p>
          <w:p>
            <w:pPr>
              <w:jc w:val="center"/>
              <w:rPr>
                <w:rFonts w:hint="eastAsia" w:ascii="宋体" w:hAnsi="宋体" w:eastAsia="宋体"/>
                <w:b/>
                <w:bCs/>
              </w:rPr>
            </w:pPr>
            <w:r>
              <w:rPr>
                <w:rFonts w:hint="eastAsia" w:ascii="宋体" w:hAnsi="宋体" w:eastAsia="宋体"/>
                <w:b/>
                <w:bCs/>
              </w:rPr>
              <w:t>领域</w:t>
            </w:r>
          </w:p>
        </w:tc>
        <w:tc>
          <w:tcPr>
            <w:tcW w:w="1159" w:type="dxa"/>
            <w:vAlign w:val="top"/>
          </w:tcPr>
          <w:p>
            <w:pPr>
              <w:jc w:val="center"/>
              <w:rPr>
                <w:rFonts w:hint="eastAsia" w:ascii="宋体" w:hAnsi="宋体" w:eastAsia="宋体"/>
                <w:b/>
                <w:bCs/>
              </w:rPr>
            </w:pPr>
            <w:r>
              <w:rPr>
                <w:rFonts w:hint="eastAsia" w:ascii="宋体" w:hAnsi="宋体" w:eastAsia="宋体"/>
                <w:b/>
                <w:bCs/>
              </w:rPr>
              <w:t>对应职业资 格证书和职 业技能证书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1295" w:type="dxa"/>
            <w:vAlign w:val="top"/>
          </w:tcPr>
          <w:p>
            <w:pPr>
              <w:spacing w:line="266" w:lineRule="auto"/>
              <w:rPr>
                <w:rFonts w:hint="eastAsia" w:ascii="宋体" w:hAnsi="宋体" w:eastAsia="宋体" w:cs="宋体"/>
                <w:sz w:val="21"/>
                <w:szCs w:val="21"/>
              </w:rPr>
            </w:pPr>
          </w:p>
          <w:p>
            <w:pPr>
              <w:spacing w:line="266" w:lineRule="auto"/>
              <w:rPr>
                <w:rFonts w:hint="eastAsia" w:ascii="宋体" w:hAnsi="宋体" w:eastAsia="宋体" w:cs="宋体"/>
                <w:sz w:val="21"/>
                <w:szCs w:val="21"/>
              </w:rPr>
            </w:pPr>
          </w:p>
          <w:p>
            <w:pPr>
              <w:spacing w:line="266" w:lineRule="auto"/>
              <w:rPr>
                <w:rFonts w:hint="eastAsia" w:ascii="宋体" w:hAnsi="宋体" w:eastAsia="宋体" w:cs="宋体"/>
                <w:sz w:val="21"/>
                <w:szCs w:val="21"/>
              </w:rPr>
            </w:pPr>
          </w:p>
          <w:p>
            <w:pPr>
              <w:spacing w:before="2" w:line="220" w:lineRule="auto"/>
              <w:ind w:left="206"/>
              <w:rPr>
                <w:rFonts w:hint="eastAsia" w:ascii="宋体" w:hAnsi="宋体" w:eastAsia="宋体" w:cs="宋体"/>
                <w:sz w:val="21"/>
                <w:szCs w:val="21"/>
              </w:rPr>
            </w:pPr>
            <w:r>
              <w:rPr>
                <w:rFonts w:hint="eastAsia" w:ascii="宋体" w:hAnsi="宋体" w:eastAsia="宋体" w:cs="宋体"/>
                <w:sz w:val="21"/>
                <w:szCs w:val="21"/>
              </w:rPr>
              <w:t>食品药品与粮食大类（49）</w:t>
            </w:r>
          </w:p>
        </w:tc>
        <w:tc>
          <w:tcPr>
            <w:tcW w:w="1126" w:type="dxa"/>
            <w:vAlign w:val="top"/>
          </w:tcPr>
          <w:p>
            <w:pPr>
              <w:spacing w:line="332" w:lineRule="auto"/>
              <w:rPr>
                <w:rFonts w:hint="eastAsia" w:ascii="宋体" w:hAnsi="宋体" w:eastAsia="宋体" w:cs="宋体"/>
                <w:sz w:val="21"/>
                <w:szCs w:val="21"/>
              </w:rPr>
            </w:pPr>
          </w:p>
          <w:p>
            <w:pPr>
              <w:spacing w:line="333" w:lineRule="auto"/>
              <w:rPr>
                <w:rFonts w:hint="eastAsia" w:ascii="宋体" w:hAnsi="宋体" w:eastAsia="宋体" w:cs="宋体"/>
                <w:sz w:val="21"/>
                <w:szCs w:val="21"/>
              </w:rPr>
            </w:pPr>
          </w:p>
          <w:p>
            <w:pPr>
              <w:spacing w:line="219" w:lineRule="auto"/>
              <w:ind w:left="298"/>
              <w:rPr>
                <w:rFonts w:hint="eastAsia" w:ascii="宋体" w:hAnsi="宋体" w:eastAsia="宋体" w:cs="宋体"/>
                <w:sz w:val="21"/>
                <w:szCs w:val="21"/>
              </w:rPr>
            </w:pPr>
            <w:r>
              <w:rPr>
                <w:rFonts w:hint="eastAsia" w:ascii="宋体" w:hAnsi="宋体" w:eastAsia="宋体" w:cs="宋体"/>
                <w:sz w:val="21"/>
                <w:szCs w:val="21"/>
              </w:rPr>
              <w:t>食品类（4901）</w:t>
            </w:r>
          </w:p>
        </w:tc>
        <w:tc>
          <w:tcPr>
            <w:tcW w:w="1542" w:type="dxa"/>
            <w:vAlign w:val="top"/>
          </w:tcPr>
          <w:p>
            <w:pPr>
              <w:spacing w:before="161" w:line="220" w:lineRule="auto"/>
              <w:ind w:left="191"/>
              <w:rPr>
                <w:rFonts w:hint="eastAsia" w:ascii="宋体" w:hAnsi="宋体" w:eastAsia="宋体" w:cs="宋体"/>
                <w:sz w:val="21"/>
                <w:szCs w:val="21"/>
              </w:rPr>
            </w:pPr>
            <w:r>
              <w:rPr>
                <w:rFonts w:hint="eastAsia" w:ascii="宋体" w:hAnsi="宋体" w:eastAsia="宋体" w:cs="宋体"/>
                <w:spacing w:val="-13"/>
                <w:sz w:val="21"/>
                <w:szCs w:val="21"/>
              </w:rPr>
              <w:t>农</w:t>
            </w:r>
            <w:r>
              <w:rPr>
                <w:rFonts w:hint="eastAsia" w:ascii="宋体" w:hAnsi="宋体" w:eastAsia="宋体" w:cs="宋体"/>
                <w:spacing w:val="-10"/>
                <w:sz w:val="21"/>
                <w:szCs w:val="21"/>
              </w:rPr>
              <w:t>副食品加工业</w:t>
            </w:r>
          </w:p>
          <w:p>
            <w:pPr>
              <w:spacing w:before="20" w:line="220" w:lineRule="auto"/>
              <w:ind w:left="526"/>
              <w:rPr>
                <w:rFonts w:hint="eastAsia" w:ascii="宋体" w:hAnsi="宋体" w:eastAsia="宋体" w:cs="宋体"/>
                <w:sz w:val="21"/>
                <w:szCs w:val="21"/>
              </w:rPr>
            </w:pPr>
            <w:r>
              <w:rPr>
                <w:rFonts w:hint="eastAsia" w:ascii="宋体" w:hAnsi="宋体" w:eastAsia="宋体" w:cs="宋体"/>
                <w:spacing w:val="15"/>
                <w:sz w:val="21"/>
                <w:szCs w:val="21"/>
              </w:rPr>
              <w:t>(13)</w:t>
            </w:r>
          </w:p>
          <w:p>
            <w:pPr>
              <w:spacing w:before="19" w:line="217" w:lineRule="auto"/>
              <w:ind w:left="358"/>
              <w:rPr>
                <w:rFonts w:hint="eastAsia" w:ascii="宋体" w:hAnsi="宋体" w:eastAsia="宋体" w:cs="宋体"/>
                <w:sz w:val="21"/>
                <w:szCs w:val="21"/>
              </w:rPr>
            </w:pPr>
            <w:r>
              <w:rPr>
                <w:rFonts w:hint="eastAsia" w:ascii="宋体" w:hAnsi="宋体" w:eastAsia="宋体" w:cs="宋体"/>
                <w:spacing w:val="-12"/>
                <w:sz w:val="21"/>
                <w:szCs w:val="21"/>
              </w:rPr>
              <w:t>食</w:t>
            </w:r>
            <w:r>
              <w:rPr>
                <w:rFonts w:hint="eastAsia" w:ascii="宋体" w:hAnsi="宋体" w:eastAsia="宋体" w:cs="宋体"/>
                <w:spacing w:val="-9"/>
                <w:sz w:val="21"/>
                <w:szCs w:val="21"/>
              </w:rPr>
              <w:t>品制造业</w:t>
            </w:r>
          </w:p>
          <w:p>
            <w:pPr>
              <w:spacing w:before="20" w:line="220" w:lineRule="auto"/>
              <w:ind w:left="526"/>
              <w:rPr>
                <w:rFonts w:hint="eastAsia" w:ascii="宋体" w:hAnsi="宋体" w:eastAsia="宋体" w:cs="宋体"/>
                <w:sz w:val="21"/>
                <w:szCs w:val="21"/>
              </w:rPr>
            </w:pPr>
            <w:r>
              <w:rPr>
                <w:rFonts w:hint="eastAsia" w:ascii="宋体" w:hAnsi="宋体" w:eastAsia="宋体" w:cs="宋体"/>
                <w:spacing w:val="15"/>
                <w:sz w:val="21"/>
                <w:szCs w:val="21"/>
              </w:rPr>
              <w:t>(14)</w:t>
            </w:r>
          </w:p>
          <w:p>
            <w:pPr>
              <w:spacing w:before="18"/>
              <w:ind w:left="441" w:right="170" w:hanging="251"/>
              <w:rPr>
                <w:rFonts w:hint="eastAsia" w:ascii="宋体" w:hAnsi="宋体" w:eastAsia="宋体" w:cs="宋体"/>
                <w:sz w:val="21"/>
                <w:szCs w:val="21"/>
              </w:rPr>
            </w:pPr>
            <w:r>
              <w:rPr>
                <w:rFonts w:hint="eastAsia" w:ascii="宋体" w:hAnsi="宋体" w:eastAsia="宋体" w:cs="宋体"/>
                <w:spacing w:val="-12"/>
                <w:sz w:val="21"/>
                <w:szCs w:val="21"/>
              </w:rPr>
              <w:t>酒、饮料和精制</w:t>
            </w:r>
            <w:r>
              <w:rPr>
                <w:rFonts w:hint="eastAsia" w:ascii="宋体" w:hAnsi="宋体" w:eastAsia="宋体" w:cs="宋体"/>
                <w:spacing w:val="-9"/>
                <w:sz w:val="21"/>
                <w:szCs w:val="21"/>
              </w:rPr>
              <w:t>茶制造业</w:t>
            </w:r>
            <w:r>
              <w:rPr>
                <w:rFonts w:hint="eastAsia" w:ascii="宋体" w:hAnsi="宋体" w:eastAsia="宋体" w:cs="宋体"/>
                <w:spacing w:val="12"/>
                <w:sz w:val="21"/>
                <w:szCs w:val="21"/>
              </w:rPr>
              <w:t>(</w:t>
            </w:r>
            <w:r>
              <w:rPr>
                <w:rFonts w:hint="eastAsia" w:ascii="宋体" w:hAnsi="宋体" w:eastAsia="宋体" w:cs="宋体"/>
                <w:spacing w:val="10"/>
                <w:sz w:val="21"/>
                <w:szCs w:val="21"/>
              </w:rPr>
              <w:t>15)</w:t>
            </w:r>
            <w:r>
              <w:rPr>
                <w:rFonts w:hint="eastAsia" w:ascii="宋体" w:hAnsi="宋体" w:eastAsia="宋体" w:cs="宋体"/>
                <w:sz w:val="21"/>
                <w:szCs w:val="21"/>
              </w:rPr>
              <w:t xml:space="preserve"> </w:t>
            </w:r>
            <w:r>
              <w:rPr>
                <w:rFonts w:hint="eastAsia" w:ascii="宋体" w:hAnsi="宋体" w:eastAsia="宋体" w:cs="宋体"/>
                <w:spacing w:val="-13"/>
                <w:sz w:val="21"/>
                <w:szCs w:val="21"/>
              </w:rPr>
              <w:t>餐饮业</w:t>
            </w:r>
            <w:r>
              <w:rPr>
                <w:rFonts w:hint="eastAsia" w:ascii="宋体" w:hAnsi="宋体" w:eastAsia="宋体" w:cs="宋体"/>
                <w:spacing w:val="15"/>
                <w:sz w:val="21"/>
                <w:szCs w:val="21"/>
              </w:rPr>
              <w:t>(62)</w:t>
            </w:r>
          </w:p>
        </w:tc>
        <w:tc>
          <w:tcPr>
            <w:tcW w:w="2051" w:type="dxa"/>
            <w:vAlign w:val="top"/>
          </w:tcPr>
          <w:p>
            <w:pPr>
              <w:spacing w:before="28" w:line="216" w:lineRule="auto"/>
              <w:ind w:left="614"/>
              <w:rPr>
                <w:rFonts w:hint="eastAsia" w:ascii="宋体" w:hAnsi="宋体" w:eastAsia="宋体" w:cs="宋体"/>
                <w:sz w:val="21"/>
                <w:szCs w:val="21"/>
              </w:rPr>
            </w:pPr>
            <w:r>
              <w:rPr>
                <w:rFonts w:hint="eastAsia" w:ascii="宋体" w:hAnsi="宋体" w:eastAsia="宋体" w:cs="宋体"/>
                <w:spacing w:val="-13"/>
                <w:sz w:val="21"/>
                <w:szCs w:val="21"/>
              </w:rPr>
              <w:t>化</w:t>
            </w:r>
            <w:r>
              <w:rPr>
                <w:rFonts w:hint="eastAsia" w:ascii="宋体" w:hAnsi="宋体" w:eastAsia="宋体" w:cs="宋体"/>
                <w:spacing w:val="-9"/>
                <w:sz w:val="21"/>
                <w:szCs w:val="21"/>
              </w:rPr>
              <w:t>学检验员</w:t>
            </w:r>
          </w:p>
          <w:p>
            <w:pPr>
              <w:spacing w:before="22" w:line="220" w:lineRule="auto"/>
              <w:ind w:left="445"/>
              <w:rPr>
                <w:rFonts w:hint="eastAsia" w:ascii="宋体" w:hAnsi="宋体" w:eastAsia="宋体" w:cs="宋体"/>
                <w:sz w:val="21"/>
                <w:szCs w:val="21"/>
              </w:rPr>
            </w:pPr>
            <w:r>
              <w:rPr>
                <w:rFonts w:hint="eastAsia" w:ascii="宋体" w:hAnsi="宋体" w:eastAsia="宋体" w:cs="宋体"/>
                <w:spacing w:val="1"/>
                <w:sz w:val="21"/>
                <w:szCs w:val="21"/>
              </w:rPr>
              <w:t>(6-31-03-01)</w:t>
            </w:r>
          </w:p>
          <w:p>
            <w:pPr>
              <w:spacing w:before="18" w:line="217" w:lineRule="auto"/>
              <w:ind w:left="617"/>
              <w:rPr>
                <w:rFonts w:hint="eastAsia" w:ascii="宋体" w:hAnsi="宋体" w:eastAsia="宋体" w:cs="宋体"/>
                <w:sz w:val="21"/>
                <w:szCs w:val="21"/>
              </w:rPr>
            </w:pPr>
            <w:r>
              <w:rPr>
                <w:rFonts w:hint="eastAsia" w:ascii="宋体" w:hAnsi="宋体" w:eastAsia="宋体" w:cs="宋体"/>
                <w:spacing w:val="-11"/>
                <w:sz w:val="21"/>
                <w:szCs w:val="21"/>
              </w:rPr>
              <w:t>公</w:t>
            </w:r>
            <w:r>
              <w:rPr>
                <w:rFonts w:hint="eastAsia" w:ascii="宋体" w:hAnsi="宋体" w:eastAsia="宋体" w:cs="宋体"/>
                <w:spacing w:val="-10"/>
                <w:sz w:val="21"/>
                <w:szCs w:val="21"/>
              </w:rPr>
              <w:t>共营养师</w:t>
            </w:r>
          </w:p>
          <w:p>
            <w:pPr>
              <w:spacing w:before="21" w:line="220" w:lineRule="auto"/>
              <w:ind w:left="445"/>
              <w:rPr>
                <w:rFonts w:hint="eastAsia" w:ascii="宋体" w:hAnsi="宋体" w:eastAsia="宋体" w:cs="宋体"/>
                <w:sz w:val="21"/>
                <w:szCs w:val="21"/>
              </w:rPr>
            </w:pPr>
            <w:r>
              <w:rPr>
                <w:rFonts w:hint="eastAsia" w:ascii="宋体" w:hAnsi="宋体" w:eastAsia="宋体" w:cs="宋体"/>
                <w:spacing w:val="1"/>
                <w:sz w:val="21"/>
                <w:szCs w:val="21"/>
              </w:rPr>
              <w:t>(4-14-02-01)</w:t>
            </w:r>
          </w:p>
          <w:p>
            <w:pPr>
              <w:spacing w:before="21" w:line="216" w:lineRule="auto"/>
              <w:ind w:left="786"/>
              <w:rPr>
                <w:rFonts w:hint="eastAsia" w:ascii="宋体" w:hAnsi="宋体" w:eastAsia="宋体" w:cs="宋体"/>
                <w:sz w:val="21"/>
                <w:szCs w:val="21"/>
              </w:rPr>
            </w:pPr>
            <w:r>
              <w:rPr>
                <w:rFonts w:hint="eastAsia" w:ascii="宋体" w:hAnsi="宋体" w:eastAsia="宋体" w:cs="宋体"/>
                <w:spacing w:val="-9"/>
                <w:sz w:val="21"/>
                <w:szCs w:val="21"/>
              </w:rPr>
              <w:t>质检员</w:t>
            </w:r>
          </w:p>
          <w:p>
            <w:pPr>
              <w:spacing w:before="21" w:line="220" w:lineRule="auto"/>
              <w:ind w:left="445"/>
              <w:rPr>
                <w:rFonts w:hint="eastAsia" w:ascii="宋体" w:hAnsi="宋体" w:eastAsia="宋体" w:cs="宋体"/>
                <w:sz w:val="21"/>
                <w:szCs w:val="21"/>
              </w:rPr>
            </w:pPr>
            <w:r>
              <w:rPr>
                <w:rFonts w:hint="eastAsia" w:ascii="宋体" w:hAnsi="宋体" w:eastAsia="宋体" w:cs="宋体"/>
                <w:spacing w:val="1"/>
                <w:sz w:val="21"/>
                <w:szCs w:val="21"/>
              </w:rPr>
              <w:t>(6-31-03-05)</w:t>
            </w:r>
          </w:p>
          <w:p>
            <w:pPr>
              <w:spacing w:before="19" w:line="216" w:lineRule="auto"/>
              <w:ind w:left="362"/>
              <w:rPr>
                <w:rFonts w:hint="eastAsia" w:ascii="宋体" w:hAnsi="宋体" w:eastAsia="宋体" w:cs="宋体"/>
                <w:sz w:val="21"/>
                <w:szCs w:val="21"/>
              </w:rPr>
            </w:pPr>
            <w:r>
              <w:rPr>
                <w:rFonts w:hint="eastAsia" w:ascii="宋体" w:hAnsi="宋体" w:eastAsia="宋体" w:cs="宋体"/>
                <w:spacing w:val="-15"/>
                <w:sz w:val="21"/>
                <w:szCs w:val="21"/>
              </w:rPr>
              <w:t>农</w:t>
            </w:r>
            <w:r>
              <w:rPr>
                <w:rFonts w:hint="eastAsia" w:ascii="宋体" w:hAnsi="宋体" w:eastAsia="宋体" w:cs="宋体"/>
                <w:spacing w:val="-10"/>
                <w:sz w:val="21"/>
                <w:szCs w:val="21"/>
              </w:rPr>
              <w:t>产品食品检验员</w:t>
            </w:r>
          </w:p>
          <w:p>
            <w:pPr>
              <w:spacing w:before="24" w:line="220" w:lineRule="auto"/>
              <w:ind w:left="445"/>
              <w:rPr>
                <w:rFonts w:hint="eastAsia" w:ascii="宋体" w:hAnsi="宋体" w:eastAsia="宋体" w:cs="宋体"/>
                <w:sz w:val="21"/>
                <w:szCs w:val="21"/>
              </w:rPr>
            </w:pPr>
            <w:r>
              <w:rPr>
                <w:rFonts w:hint="eastAsia" w:ascii="宋体" w:hAnsi="宋体" w:eastAsia="宋体" w:cs="宋体"/>
                <w:spacing w:val="1"/>
                <w:sz w:val="21"/>
                <w:szCs w:val="21"/>
              </w:rPr>
              <w:t>(4-08-05-01)</w:t>
            </w:r>
          </w:p>
          <w:p>
            <w:pPr>
              <w:spacing w:before="19" w:line="218" w:lineRule="auto"/>
              <w:ind w:left="361"/>
              <w:rPr>
                <w:rFonts w:hint="eastAsia" w:ascii="宋体" w:hAnsi="宋体" w:eastAsia="宋体" w:cs="宋体"/>
                <w:sz w:val="21"/>
                <w:szCs w:val="21"/>
              </w:rPr>
            </w:pPr>
            <w:r>
              <w:rPr>
                <w:rFonts w:hint="eastAsia" w:ascii="宋体" w:hAnsi="宋体" w:eastAsia="宋体" w:cs="宋体"/>
                <w:spacing w:val="-14"/>
                <w:sz w:val="21"/>
                <w:szCs w:val="21"/>
              </w:rPr>
              <w:t>食</w:t>
            </w:r>
            <w:r>
              <w:rPr>
                <w:rFonts w:hint="eastAsia" w:ascii="宋体" w:hAnsi="宋体" w:eastAsia="宋体" w:cs="宋体"/>
                <w:spacing w:val="-10"/>
                <w:sz w:val="21"/>
                <w:szCs w:val="21"/>
              </w:rPr>
              <w:t>品工程技术人员</w:t>
            </w:r>
          </w:p>
          <w:p>
            <w:pPr>
              <w:spacing w:before="20" w:line="217" w:lineRule="auto"/>
              <w:ind w:left="445"/>
              <w:rPr>
                <w:rFonts w:hint="eastAsia" w:ascii="宋体" w:hAnsi="宋体" w:eastAsia="宋体" w:cs="宋体"/>
                <w:sz w:val="21"/>
                <w:szCs w:val="21"/>
              </w:rPr>
            </w:pPr>
            <w:r>
              <w:rPr>
                <w:rFonts w:hint="eastAsia" w:ascii="宋体" w:hAnsi="宋体" w:eastAsia="宋体" w:cs="宋体"/>
                <w:spacing w:val="1"/>
                <w:sz w:val="21"/>
                <w:szCs w:val="21"/>
              </w:rPr>
              <w:t>(2-02-24-00)</w:t>
            </w:r>
          </w:p>
        </w:tc>
        <w:tc>
          <w:tcPr>
            <w:tcW w:w="1067" w:type="dxa"/>
            <w:vAlign w:val="top"/>
          </w:tcPr>
          <w:p>
            <w:pPr>
              <w:spacing w:before="151" w:line="277" w:lineRule="auto"/>
              <w:ind w:left="274" w:right="170" w:hanging="87"/>
              <w:rPr>
                <w:rFonts w:hint="eastAsia" w:ascii="宋体" w:hAnsi="宋体" w:eastAsia="宋体" w:cs="宋体"/>
                <w:sz w:val="21"/>
                <w:szCs w:val="21"/>
              </w:rPr>
            </w:pPr>
            <w:r>
              <w:rPr>
                <w:rFonts w:hint="eastAsia" w:ascii="宋体" w:hAnsi="宋体" w:eastAsia="宋体" w:cs="宋体"/>
                <w:spacing w:val="-4"/>
                <w:sz w:val="21"/>
                <w:szCs w:val="21"/>
                <w:lang w:val="en-US" w:eastAsia="zh-CN"/>
              </w:rPr>
              <w:t>公共营养指导</w:t>
            </w:r>
            <w:r>
              <w:rPr>
                <w:rFonts w:hint="eastAsia" w:ascii="宋体" w:hAnsi="宋体" w:eastAsia="宋体" w:cs="宋体"/>
                <w:spacing w:val="-11"/>
                <w:sz w:val="21"/>
                <w:szCs w:val="21"/>
              </w:rPr>
              <w:t>；</w:t>
            </w:r>
          </w:p>
          <w:p>
            <w:pPr>
              <w:spacing w:before="3" w:line="276" w:lineRule="auto"/>
              <w:ind w:left="182" w:right="170" w:firstLine="1"/>
              <w:rPr>
                <w:rFonts w:hint="eastAsia" w:ascii="宋体" w:hAnsi="宋体" w:eastAsia="宋体" w:cs="宋体"/>
                <w:sz w:val="21"/>
                <w:szCs w:val="21"/>
              </w:rPr>
            </w:pPr>
            <w:r>
              <w:rPr>
                <w:rFonts w:hint="eastAsia" w:ascii="宋体" w:hAnsi="宋体" w:eastAsia="宋体" w:cs="宋体"/>
                <w:spacing w:val="-4"/>
                <w:sz w:val="21"/>
                <w:szCs w:val="21"/>
              </w:rPr>
              <w:t>农</w:t>
            </w:r>
            <w:r>
              <w:rPr>
                <w:rFonts w:hint="eastAsia" w:ascii="宋体" w:hAnsi="宋体" w:eastAsia="宋体" w:cs="宋体"/>
                <w:spacing w:val="-3"/>
                <w:sz w:val="21"/>
                <w:szCs w:val="21"/>
              </w:rPr>
              <w:t>产品食</w:t>
            </w:r>
            <w:r>
              <w:rPr>
                <w:rFonts w:hint="eastAsia" w:ascii="宋体" w:hAnsi="宋体" w:eastAsia="宋体" w:cs="宋体"/>
                <w:sz w:val="21"/>
                <w:szCs w:val="21"/>
              </w:rPr>
              <w:t xml:space="preserve"> </w:t>
            </w:r>
            <w:r>
              <w:rPr>
                <w:rFonts w:hint="eastAsia" w:ascii="宋体" w:hAnsi="宋体" w:eastAsia="宋体" w:cs="宋体"/>
                <w:spacing w:val="-15"/>
                <w:sz w:val="21"/>
                <w:szCs w:val="21"/>
              </w:rPr>
              <w:t>品</w:t>
            </w:r>
            <w:r>
              <w:rPr>
                <w:rFonts w:hint="eastAsia" w:ascii="宋体" w:hAnsi="宋体" w:eastAsia="宋体" w:cs="宋体"/>
                <w:spacing w:val="-12"/>
                <w:sz w:val="21"/>
                <w:szCs w:val="21"/>
              </w:rPr>
              <w:t>检验；</w:t>
            </w:r>
            <w:r>
              <w:rPr>
                <w:rFonts w:hint="eastAsia" w:ascii="宋体" w:hAnsi="宋体" w:eastAsia="宋体" w:cs="宋体"/>
                <w:sz w:val="21"/>
                <w:szCs w:val="21"/>
              </w:rPr>
              <w:t xml:space="preserve"> </w:t>
            </w:r>
            <w:r>
              <w:rPr>
                <w:rFonts w:hint="eastAsia" w:ascii="宋体" w:hAnsi="宋体" w:eastAsia="宋体" w:cs="宋体"/>
                <w:spacing w:val="-3"/>
                <w:sz w:val="21"/>
                <w:szCs w:val="21"/>
              </w:rPr>
              <w:t>质量和认</w:t>
            </w:r>
            <w:r>
              <w:rPr>
                <w:rFonts w:hint="eastAsia" w:ascii="宋体" w:hAnsi="宋体" w:eastAsia="宋体" w:cs="宋体"/>
                <w:sz w:val="21"/>
                <w:szCs w:val="21"/>
              </w:rPr>
              <w:t xml:space="preserve"> </w:t>
            </w:r>
            <w:r>
              <w:rPr>
                <w:rFonts w:hint="eastAsia" w:ascii="宋体" w:hAnsi="宋体" w:eastAsia="宋体" w:cs="宋体"/>
                <w:spacing w:val="-12"/>
                <w:sz w:val="21"/>
                <w:szCs w:val="21"/>
              </w:rPr>
              <w:t>证</w:t>
            </w:r>
            <w:r>
              <w:rPr>
                <w:rFonts w:hint="eastAsia" w:ascii="宋体" w:hAnsi="宋体" w:eastAsia="宋体" w:cs="宋体"/>
                <w:spacing w:val="-9"/>
                <w:sz w:val="21"/>
                <w:szCs w:val="21"/>
              </w:rPr>
              <w:t>认可；</w:t>
            </w:r>
          </w:p>
          <w:p>
            <w:pPr>
              <w:spacing w:before="1" w:line="286" w:lineRule="auto"/>
              <w:ind w:left="275" w:right="170" w:hanging="92"/>
              <w:rPr>
                <w:rFonts w:hint="eastAsia" w:ascii="宋体" w:hAnsi="宋体" w:eastAsia="宋体" w:cs="宋体"/>
                <w:sz w:val="21"/>
                <w:szCs w:val="21"/>
              </w:rPr>
            </w:pPr>
            <w:r>
              <w:rPr>
                <w:rFonts w:hint="eastAsia" w:ascii="宋体" w:hAnsi="宋体" w:eastAsia="宋体" w:cs="宋体"/>
                <w:spacing w:val="-3"/>
                <w:sz w:val="21"/>
                <w:szCs w:val="21"/>
              </w:rPr>
              <w:t>食品检验</w:t>
            </w:r>
            <w:r>
              <w:rPr>
                <w:rFonts w:hint="eastAsia" w:ascii="宋体" w:hAnsi="宋体" w:eastAsia="宋体" w:cs="宋体"/>
                <w:sz w:val="21"/>
                <w:szCs w:val="21"/>
              </w:rPr>
              <w:t xml:space="preserve"> </w:t>
            </w:r>
            <w:r>
              <w:rPr>
                <w:rFonts w:hint="eastAsia" w:ascii="宋体" w:hAnsi="宋体" w:eastAsia="宋体" w:cs="宋体"/>
                <w:spacing w:val="-14"/>
                <w:sz w:val="21"/>
                <w:szCs w:val="21"/>
              </w:rPr>
              <w:t>检</w:t>
            </w:r>
            <w:r>
              <w:rPr>
                <w:rFonts w:hint="eastAsia" w:ascii="宋体" w:hAnsi="宋体" w:eastAsia="宋体" w:cs="宋体"/>
                <w:spacing w:val="-11"/>
                <w:sz w:val="21"/>
                <w:szCs w:val="21"/>
              </w:rPr>
              <w:t>疫；</w:t>
            </w:r>
          </w:p>
        </w:tc>
        <w:tc>
          <w:tcPr>
            <w:tcW w:w="1159" w:type="dxa"/>
            <w:vAlign w:val="top"/>
          </w:tcPr>
          <w:p>
            <w:pPr>
              <w:spacing w:line="467" w:lineRule="auto"/>
              <w:jc w:val="both"/>
              <w:rPr>
                <w:rFonts w:hint="eastAsia" w:ascii="宋体" w:hAnsi="宋体" w:eastAsia="宋体" w:cs="宋体"/>
                <w:sz w:val="21"/>
                <w:szCs w:val="21"/>
              </w:rPr>
            </w:pPr>
          </w:p>
          <w:p>
            <w:pPr>
              <w:spacing w:line="215" w:lineRule="auto"/>
              <w:jc w:val="both"/>
              <w:rPr>
                <w:rFonts w:hint="eastAsia" w:ascii="宋体" w:hAnsi="宋体" w:eastAsia="宋体" w:cs="宋体"/>
                <w:sz w:val="21"/>
                <w:szCs w:val="21"/>
                <w:lang w:val="en-US" w:eastAsia="zh-CN"/>
              </w:rPr>
            </w:pPr>
            <w:r>
              <w:rPr>
                <w:rFonts w:hint="eastAsia" w:ascii="宋体" w:hAnsi="宋体" w:eastAsia="宋体" w:cs="宋体"/>
                <w:spacing w:val="-4"/>
                <w:sz w:val="21"/>
                <w:szCs w:val="21"/>
              </w:rPr>
              <w:t>中、高级食品化验员证、内审员等资格证书、“1+X”证书</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产品感官评定分析体系证书</w:t>
            </w:r>
          </w:p>
        </w:tc>
      </w:tr>
    </w:tbl>
    <w:p>
      <w:pPr>
        <w:spacing w:line="360" w:lineRule="auto"/>
        <w:jc w:val="center"/>
        <w:rPr>
          <w:rFonts w:hint="eastAsia" w:ascii="宋体" w:hAnsi="宋体" w:eastAsia="宋体" w:cs="微软雅黑"/>
          <w:szCs w:val="21"/>
        </w:rPr>
      </w:pPr>
    </w:p>
    <w:p>
      <w:pPr>
        <w:ind w:firstLine="560" w:firstLineChars="200"/>
        <w:outlineLvl w:val="1"/>
        <w:rPr>
          <w:rFonts w:ascii="Times New Roman" w:hAnsi="Times New Roman" w:eastAsia="黑体" w:cs="Times New Roman"/>
          <w:color w:val="000000" w:themeColor="text1"/>
          <w:sz w:val="28"/>
          <w:szCs w:val="28"/>
          <w:highlight w:val="none"/>
          <w14:textFill>
            <w14:solidFill>
              <w14:schemeClr w14:val="tx1"/>
            </w14:solidFill>
          </w14:textFill>
        </w:rPr>
      </w:pPr>
      <w:r>
        <w:rPr>
          <w:rFonts w:hint="eastAsia" w:ascii="Times New Roman" w:hAnsi="Times New Roman" w:eastAsia="黑体" w:cs="Times New Roman"/>
          <w:sz w:val="28"/>
          <w:szCs w:val="28"/>
        </w:rPr>
        <w:t>五</w:t>
      </w:r>
      <w:r>
        <w:rPr>
          <w:rFonts w:ascii="Times New Roman" w:hAnsi="Times New Roman" w:eastAsia="黑体" w:cs="Times New Roman"/>
          <w:sz w:val="28"/>
          <w:szCs w:val="28"/>
        </w:rPr>
        <w:t>、</w:t>
      </w:r>
      <w:r>
        <w:rPr>
          <w:rFonts w:ascii="Times New Roman" w:hAnsi="Times New Roman" w:eastAsia="黑体" w:cs="Times New Roman"/>
          <w:color w:val="000000" w:themeColor="text1"/>
          <w:sz w:val="28"/>
          <w:szCs w:val="28"/>
          <w:highlight w:val="none"/>
          <w14:textFill>
            <w14:solidFill>
              <w14:schemeClr w14:val="tx1"/>
            </w14:solidFill>
          </w14:textFill>
        </w:rPr>
        <w:t>培养目标与</w:t>
      </w:r>
      <w:r>
        <w:rPr>
          <w:rFonts w:hint="eastAsia" w:ascii="Times New Roman" w:hAnsi="Times New Roman" w:eastAsia="黑体" w:cs="Times New Roman"/>
          <w:color w:val="000000" w:themeColor="text1"/>
          <w:sz w:val="28"/>
          <w:szCs w:val="28"/>
          <w:highlight w:val="none"/>
          <w14:textFill>
            <w14:solidFill>
              <w14:schemeClr w14:val="tx1"/>
            </w14:solidFill>
          </w14:textFill>
        </w:rPr>
        <w:t>培养</w:t>
      </w:r>
      <w:r>
        <w:rPr>
          <w:rFonts w:ascii="Times New Roman" w:hAnsi="Times New Roman" w:eastAsia="黑体" w:cs="Times New Roman"/>
          <w:color w:val="000000" w:themeColor="text1"/>
          <w:sz w:val="28"/>
          <w:szCs w:val="28"/>
          <w:highlight w:val="none"/>
          <w14:textFill>
            <w14:solidFill>
              <w14:schemeClr w14:val="tx1"/>
            </w14:solidFill>
          </w14:textFill>
        </w:rPr>
        <w:t>规格</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（一）</w:t>
      </w:r>
      <w:r>
        <w:rPr>
          <w:rFonts w:ascii="黑体" w:hAnsi="黑体" w:eastAsia="黑体" w:cs="Times New Roman"/>
          <w:sz w:val="24"/>
          <w:szCs w:val="24"/>
        </w:rPr>
        <w:t>培养目标</w:t>
      </w:r>
    </w:p>
    <w:p>
      <w:pPr>
        <w:spacing w:line="360" w:lineRule="auto"/>
        <w:ind w:firstLine="420" w:firstLineChars="200"/>
        <w:rPr>
          <w:rFonts w:hint="eastAsia" w:ascii="宋体" w:hAnsi="宋体" w:eastAsia="宋体" w:cs="微软雅黑"/>
          <w:szCs w:val="21"/>
        </w:rPr>
      </w:pPr>
      <w:r>
        <w:rPr>
          <w:rFonts w:hint="eastAsia" w:ascii="宋体" w:hAnsi="宋体" w:eastAsia="宋体" w:cs="微软雅黑"/>
          <w:szCs w:val="21"/>
          <w:lang w:val="en-US" w:eastAsia="zh-CN"/>
        </w:rPr>
        <w:t xml:space="preserve">本专业遵循“以服务为宗旨、就业为导向”的办学定位，主要面向食品企业、 食品检验检测机构、食品监督管理、餐饮行业、质检技术服务业等行业企业，培 养思想政治坚定，德智体美劳全面发展，具有国际视野和终身学习能力的高素质 技术技能人才。学生经过专业学习能够掌握食品加工、食品研发、食品检验、食品品控、食品合规管理等专业知识与技能，具有团队协作、沟通的职业素质，创新创业精神和工匠精神，从事品控员、质检员、食品加工技术员、营养配餐员及保健指导等岗位工作，毕业生经过 3-5 的发展，能够成为大中型企业的技术骨干 或中小型企业一线技术主管。 </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（二）培养</w:t>
      </w:r>
      <w:r>
        <w:rPr>
          <w:rFonts w:ascii="黑体" w:hAnsi="黑体" w:eastAsia="黑体" w:cs="Times New Roman"/>
          <w:sz w:val="24"/>
          <w:szCs w:val="24"/>
        </w:rPr>
        <w:t>规格</w:t>
      </w:r>
    </w:p>
    <w:p>
      <w:pPr>
        <w:spacing w:line="360" w:lineRule="auto"/>
        <w:ind w:firstLine="422" w:firstLineChars="200"/>
        <w:rPr>
          <w:rFonts w:hint="eastAsia" w:ascii="宋体" w:hAnsi="宋体" w:eastAsia="宋体" w:cs="微软雅黑"/>
          <w:b/>
          <w:bCs/>
          <w:szCs w:val="21"/>
        </w:rPr>
      </w:pPr>
      <w:r>
        <w:rPr>
          <w:rFonts w:hint="eastAsia" w:ascii="宋体" w:hAnsi="宋体" w:eastAsia="宋体" w:cs="微软雅黑"/>
          <w:b/>
          <w:bCs/>
          <w:szCs w:val="21"/>
        </w:rPr>
        <w:t>1.素质</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（1）思想政治素质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具备良好的政治思想素质、道德品质和法律意识；具有良好的团队合作精神、人际交往能力和社会适应能力。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（2）文化素质</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具有语言文字表达和写作基础知识，具备一定的 信息收集与处理基础知识，牢固树立人与自然和谐发展的生态理念。 具有一定的文化艺术修养、语言文字表达和写作基础知识； 具备一定的信息收集与处理基础知识。</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（3）身心素质</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numPr>
          <w:ilvl w:val="0"/>
          <w:numId w:val="2"/>
        </w:num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审美素质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具有感受美、表现美、鉴赏美、创造美的能力，具有一定的审美和人文素养，具备美的接收和欣赏的能力；具备正确的审美文化的鉴别能力；具备审美文化的创造能力。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（5）劳动素养 </w:t>
      </w:r>
    </w:p>
    <w:p>
      <w:pPr>
        <w:spacing w:line="360" w:lineRule="auto"/>
        <w:ind w:firstLine="420" w:firstLineChars="200"/>
        <w:rPr>
          <w:rFonts w:hint="default" w:ascii="宋体" w:hAnsi="宋体" w:eastAsia="宋体" w:cs="微软雅黑"/>
          <w:szCs w:val="21"/>
          <w:lang w:val="en-US" w:eastAsia="zh-CN"/>
        </w:rPr>
      </w:pPr>
      <w:r>
        <w:rPr>
          <w:rFonts w:hint="default" w:ascii="宋体" w:hAnsi="宋体" w:eastAsia="宋体" w:cs="微软雅黑"/>
          <w:szCs w:val="21"/>
          <w:lang w:val="en-US" w:eastAsia="zh-CN"/>
        </w:rPr>
        <w:t>具有积极劳动的热情和 良好的劳动习惯，自觉劳动，尊重劳动成果。 具备良好的劳动习惯，积极参与劳动，尊重劳动成果； 具备吃苦耐劳、积极进取、敬业爱岗的精神</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具有高度的责任感和认真、踏实的工作作风。</w:t>
      </w:r>
    </w:p>
    <w:p>
      <w:pPr>
        <w:numPr>
          <w:ilvl w:val="0"/>
          <w:numId w:val="3"/>
        </w:numPr>
        <w:spacing w:line="360" w:lineRule="auto"/>
        <w:ind w:firstLine="422" w:firstLineChars="200"/>
        <w:rPr>
          <w:rFonts w:hint="eastAsia" w:ascii="宋体" w:hAnsi="宋体" w:eastAsia="宋体" w:cs="微软雅黑"/>
          <w:b/>
          <w:bCs/>
          <w:szCs w:val="21"/>
        </w:rPr>
      </w:pPr>
      <w:r>
        <w:rPr>
          <w:rFonts w:hint="eastAsia" w:ascii="宋体" w:hAnsi="宋体" w:eastAsia="宋体" w:cs="微软雅黑"/>
          <w:b/>
          <w:bCs/>
          <w:szCs w:val="21"/>
        </w:rPr>
        <w:t>知识</w:t>
      </w:r>
    </w:p>
    <w:p>
      <w:pPr>
        <w:spacing w:line="360" w:lineRule="auto"/>
        <w:ind w:firstLine="420" w:firstLineChars="200"/>
        <w:rPr>
          <w:rFonts w:hint="default" w:ascii="宋体" w:hAnsi="宋体" w:eastAsia="宋体" w:cs="微软雅黑"/>
          <w:szCs w:val="21"/>
          <w:lang w:val="en-US" w:eastAsia="zh-CN"/>
        </w:rPr>
      </w:pPr>
      <w:r>
        <w:rPr>
          <w:rFonts w:hint="eastAsia" w:ascii="宋体" w:hAnsi="宋体" w:eastAsia="宋体" w:cs="微软雅黑"/>
          <w:szCs w:val="21"/>
          <w:lang w:val="en-US" w:eastAsia="zh-CN"/>
        </w:rPr>
        <w:t>（1）基础知识</w:t>
      </w:r>
    </w:p>
    <w:p>
      <w:pPr>
        <w:spacing w:line="360" w:lineRule="auto"/>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具备一定的基础文化知 识、英语知识和计算机知识、创新创业知识。了解中国特色社会主义的基本原理；了解基本的政治理 论知识、法律知识和军事理论知识； 掌握语言文字表达和写作基础知识、信息收集与处理基础知识，以及必须的人文科学等基础知识；掌握本专业必备的英语表达和使用基础知识；掌握计算机操作系统和常用应用软件的使用基础知识； 具备将自身技能与群体技能融合的基本知识和勇于创 新、自主创业的知识。 </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（2）专业知识</w:t>
      </w:r>
    </w:p>
    <w:p>
      <w:pPr>
        <w:spacing w:line="360" w:lineRule="auto"/>
        <w:ind w:firstLine="420" w:firstLineChars="200"/>
        <w:rPr>
          <w:rFonts w:hint="default" w:ascii="宋体" w:hAnsi="宋体" w:eastAsia="宋体" w:cs="微软雅黑"/>
          <w:szCs w:val="21"/>
          <w:lang w:val="en-US" w:eastAsia="zh-CN"/>
        </w:rPr>
      </w:pPr>
      <w:r>
        <w:rPr>
          <w:rFonts w:hint="default" w:ascii="宋体" w:hAnsi="宋体" w:eastAsia="宋体" w:cs="微软雅黑"/>
          <w:szCs w:val="21"/>
          <w:lang w:val="en-US" w:eastAsia="zh-CN"/>
        </w:rPr>
        <w:t>掌握食品检验技术、食品 加工技术、食品添加剂应 用与检测技术、食品营养与健康指导、食品营养配 餐、食品质量安全控制等专业知识。 具有无机及分析化学、有机化学、食品化学、食品微生物基本知识；具有分析检验、仪器维护与使用的基本知识；掌握食品、生物制品等的理化检验、微生物检验和感官检验的基本理论知识；掌握食品营养与健康、营养指导与管理的基本理论知识；</w:t>
      </w:r>
    </w:p>
    <w:p>
      <w:pPr>
        <w:spacing w:line="360" w:lineRule="auto"/>
        <w:rPr>
          <w:rFonts w:hint="default" w:ascii="宋体" w:hAnsi="宋体" w:eastAsia="宋体" w:cs="微软雅黑"/>
          <w:szCs w:val="21"/>
          <w:lang w:val="en-US" w:eastAsia="zh-CN"/>
        </w:rPr>
      </w:pPr>
      <w:r>
        <w:rPr>
          <w:rFonts w:hint="default" w:ascii="宋体" w:hAnsi="宋体" w:eastAsia="宋体" w:cs="微软雅黑"/>
          <w:szCs w:val="21"/>
          <w:lang w:val="en-US" w:eastAsia="zh-CN"/>
        </w:rPr>
        <w:t>熟悉食品安全法规与标准，掌握食品质量管理与安全控制的专业知识；了解食品行业发展动态，具有食品企业经营运作的相关管理知识；具有资源节约、环境保护、清洁生产、安全生产的观念及基本知识。</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（3）拓展知识</w:t>
      </w:r>
    </w:p>
    <w:p>
      <w:pPr>
        <w:spacing w:line="360" w:lineRule="auto"/>
        <w:ind w:firstLine="420" w:firstLineChars="200"/>
        <w:rPr>
          <w:rFonts w:hint="eastAsia" w:ascii="宋体" w:hAnsi="宋体" w:eastAsia="宋体" w:cs="微软雅黑"/>
          <w:b/>
          <w:bCs/>
          <w:szCs w:val="21"/>
        </w:rPr>
      </w:pPr>
      <w:r>
        <w:rPr>
          <w:rFonts w:hint="default" w:ascii="宋体" w:hAnsi="宋体" w:eastAsia="宋体" w:cs="微软雅黑"/>
          <w:szCs w:val="21"/>
          <w:lang w:val="en-US" w:eastAsia="zh-CN"/>
        </w:rPr>
        <w:t>了解功能性食品</w:t>
      </w:r>
      <w:r>
        <w:rPr>
          <w:rFonts w:hint="eastAsia" w:ascii="宋体" w:hAnsi="宋体" w:eastAsia="宋体" w:cs="微软雅黑"/>
          <w:szCs w:val="21"/>
          <w:lang w:val="en-US" w:eastAsia="zh-CN"/>
        </w:rPr>
        <w:t>、粮油</w:t>
      </w:r>
      <w:r>
        <w:rPr>
          <w:rFonts w:hint="default" w:ascii="宋体" w:hAnsi="宋体" w:eastAsia="宋体" w:cs="微软雅黑"/>
          <w:szCs w:val="21"/>
          <w:lang w:val="en-US" w:eastAsia="zh-CN"/>
        </w:rPr>
        <w:t>加工、发酵食品生产、果蔬贮藏与加工、</w:t>
      </w:r>
      <w:r>
        <w:rPr>
          <w:rFonts w:hint="eastAsia" w:ascii="宋体" w:hAnsi="宋体" w:eastAsia="宋体" w:cs="微软雅黑"/>
          <w:szCs w:val="21"/>
          <w:lang w:val="en-US" w:eastAsia="zh-CN"/>
        </w:rPr>
        <w:t>乳品</w:t>
      </w:r>
      <w:r>
        <w:rPr>
          <w:rFonts w:hint="default" w:ascii="宋体" w:hAnsi="宋体" w:eastAsia="宋体" w:cs="微软雅黑"/>
          <w:szCs w:val="21"/>
          <w:lang w:val="en-US" w:eastAsia="zh-CN"/>
        </w:rPr>
        <w:t xml:space="preserve">加 工、饮料加工及食品加工 单元操作等相关知识。具备科技论文写作相关知识；掌握就业与创业相关知识。 </w:t>
      </w:r>
    </w:p>
    <w:p>
      <w:pPr>
        <w:numPr>
          <w:ilvl w:val="0"/>
          <w:numId w:val="3"/>
        </w:numPr>
        <w:spacing w:line="360" w:lineRule="auto"/>
        <w:ind w:left="0" w:leftChars="0" w:firstLine="422" w:firstLineChars="200"/>
        <w:rPr>
          <w:rFonts w:hint="eastAsia" w:ascii="宋体" w:hAnsi="宋体" w:eastAsia="宋体" w:cs="微软雅黑"/>
          <w:b/>
          <w:bCs/>
          <w:szCs w:val="21"/>
        </w:rPr>
      </w:pPr>
      <w:r>
        <w:rPr>
          <w:rFonts w:hint="eastAsia" w:ascii="宋体" w:hAnsi="宋体" w:eastAsia="宋体" w:cs="微软雅黑"/>
          <w:b/>
          <w:bCs/>
          <w:szCs w:val="21"/>
        </w:rPr>
        <w:t>能力</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（1）专业基础技术能力 </w:t>
      </w:r>
    </w:p>
    <w:p>
      <w:pPr>
        <w:spacing w:line="360" w:lineRule="auto"/>
        <w:ind w:firstLine="420" w:firstLineChars="200"/>
        <w:rPr>
          <w:rFonts w:hint="default" w:ascii="宋体" w:hAnsi="宋体" w:eastAsia="宋体" w:cs="微软雅黑"/>
          <w:szCs w:val="21"/>
          <w:lang w:val="en-US" w:eastAsia="zh-CN"/>
        </w:rPr>
      </w:pPr>
      <w:r>
        <w:rPr>
          <w:rFonts w:hint="default" w:ascii="宋体" w:hAnsi="宋体" w:eastAsia="宋体" w:cs="微软雅黑"/>
          <w:szCs w:val="21"/>
          <w:lang w:val="en-US" w:eastAsia="zh-CN"/>
        </w:rPr>
        <w:t>具有一定的计算机应用能力、英语应用能力、具有一定的国际视野和跨文化交流、竞争与合作能力，具备基础化学、化学分析、生物化学、微生物检</w:t>
      </w:r>
      <w:r>
        <w:rPr>
          <w:rFonts w:hint="eastAsia" w:ascii="宋体" w:hAnsi="宋体" w:eastAsia="宋体" w:cs="微软雅黑"/>
          <w:szCs w:val="21"/>
          <w:lang w:val="en-US" w:eastAsia="zh-CN"/>
        </w:rPr>
        <w:t>验</w:t>
      </w:r>
      <w:r>
        <w:rPr>
          <w:rFonts w:hint="default" w:ascii="宋体" w:hAnsi="宋体" w:eastAsia="宋体" w:cs="微软雅黑"/>
          <w:szCs w:val="21"/>
          <w:lang w:val="en-US" w:eastAsia="zh-CN"/>
        </w:rPr>
        <w:t>、实验室安全与管理等方面的基本技能。掌握较强的语言及文字表达能力</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掌握一定的英语阅读、写作与交流能力；掌握计算机应用基础、文献检索能力；具有自主学习和较强的创新创业能力。具备溶液配制、有机化学官能团鉴别方面的处理能力</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具有容量分析方面的基本操作技能和数据处理能力；具有实验室安全与管理能力</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具有微生物基础、</w:t>
      </w:r>
      <w:r>
        <w:rPr>
          <w:rFonts w:hint="eastAsia" w:ascii="宋体" w:hAnsi="宋体" w:eastAsia="宋体" w:cs="微软雅黑"/>
          <w:szCs w:val="21"/>
          <w:lang w:val="en-US" w:eastAsia="zh-CN"/>
        </w:rPr>
        <w:t>基础</w:t>
      </w:r>
      <w:r>
        <w:rPr>
          <w:rFonts w:hint="default" w:ascii="宋体" w:hAnsi="宋体" w:eastAsia="宋体" w:cs="微软雅黑"/>
          <w:szCs w:val="21"/>
          <w:lang w:val="en-US" w:eastAsia="zh-CN"/>
        </w:rPr>
        <w:t>化学等方面的基本技能。</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（2）专业能力</w:t>
      </w:r>
    </w:p>
    <w:p>
      <w:pPr>
        <w:spacing w:line="360" w:lineRule="auto"/>
        <w:ind w:firstLine="420" w:firstLineChars="200"/>
        <w:rPr>
          <w:rFonts w:hint="eastAsia" w:ascii="宋体" w:hAnsi="宋体" w:eastAsia="宋体" w:cs="微软雅黑"/>
          <w:szCs w:val="21"/>
          <w:lang w:val="en-US" w:eastAsia="zh-CN"/>
        </w:rPr>
      </w:pPr>
      <w:r>
        <w:rPr>
          <w:rFonts w:hint="default" w:ascii="宋体" w:hAnsi="宋体" w:eastAsia="宋体" w:cs="微软雅黑"/>
          <w:szCs w:val="21"/>
          <w:lang w:val="en-US" w:eastAsia="zh-CN"/>
        </w:rPr>
        <w:t>具备从事农产品食品检验、食品加工、食品营养健康指导、食品营养配餐、食品质量控制等岗位核心工作能力</w:t>
      </w:r>
      <w:r>
        <w:rPr>
          <w:rFonts w:hint="eastAsia" w:ascii="宋体" w:hAnsi="宋体" w:eastAsia="宋体" w:cs="微软雅黑"/>
          <w:szCs w:val="21"/>
          <w:lang w:val="en-US" w:eastAsia="zh-CN"/>
        </w:rPr>
        <w:t>。具备指导不同人群健康饮食的能力；具备营养配餐和编制食谱的能力；具有采集样品和处理样品的能力；具有应用化学分析与物理分析的知识与方法对样品进行理化检验的能力；具有应用生物学分析方法对样品进行微生物检验与分析的能力；具有进行食品感官检验的能力；具有对检测结果进行分析和编制检测报告的能力；初步具有计量器具管理、常规分析检测仪器的保养维护能力；应用食品安全与质量控制技术对生产过程进行评价监控的能力。</w:t>
      </w:r>
    </w:p>
    <w:p>
      <w:pPr>
        <w:spacing w:line="360" w:lineRule="auto"/>
        <w:ind w:firstLine="420" w:firstLineChars="200"/>
        <w:rPr>
          <w:rFonts w:hint="eastAsia" w:ascii="宋体" w:hAnsi="宋体" w:eastAsia="宋体" w:cs="微软雅黑"/>
          <w:szCs w:val="21"/>
          <w:lang w:val="en-US" w:eastAsia="zh-CN"/>
        </w:rPr>
      </w:pPr>
      <w:r>
        <w:rPr>
          <w:rFonts w:hint="eastAsia" w:ascii="宋体" w:hAnsi="宋体" w:eastAsia="宋体" w:cs="微软雅黑"/>
          <w:szCs w:val="21"/>
          <w:lang w:val="en-US" w:eastAsia="zh-CN"/>
        </w:rPr>
        <w:t xml:space="preserve">（3）职业拓展能力 </w:t>
      </w:r>
    </w:p>
    <w:p>
      <w:pPr>
        <w:spacing w:line="360" w:lineRule="auto"/>
        <w:ind w:firstLine="420" w:firstLineChars="200"/>
        <w:rPr>
          <w:rFonts w:hint="default" w:ascii="宋体" w:hAnsi="宋体" w:eastAsia="宋体" w:cs="微软雅黑"/>
          <w:szCs w:val="21"/>
          <w:lang w:val="en-US" w:eastAsia="zh-CN"/>
        </w:rPr>
      </w:pPr>
      <w:r>
        <w:rPr>
          <w:rFonts w:hint="default" w:ascii="宋体" w:hAnsi="宋体" w:eastAsia="宋体" w:cs="微软雅黑"/>
          <w:szCs w:val="21"/>
          <w:lang w:val="en-US" w:eastAsia="zh-CN"/>
        </w:rPr>
        <w:t>具有创新意识，了解现代食品及相关学科的发展动态和前沿信息</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具备食品开发方面的能力；具备功能性食品咨询服务和指导能力；具有果蔬、发酵食品、蜂产品加工、饮料等各类食品加工与研发能力。具备功能性食品咨询服务与指导能力；具备果蔬保鲜、发酵食品生产、蜂产品加工能力；具备饮料加工、食品加工单元操作及相关食品研发能力</w:t>
      </w:r>
      <w:r>
        <w:rPr>
          <w:rFonts w:hint="eastAsia" w:ascii="宋体" w:hAnsi="宋体" w:eastAsia="宋体" w:cs="微软雅黑"/>
          <w:szCs w:val="21"/>
          <w:lang w:val="en-US" w:eastAsia="zh-CN"/>
        </w:rPr>
        <w:t>；</w:t>
      </w:r>
      <w:r>
        <w:rPr>
          <w:rFonts w:hint="default" w:ascii="宋体" w:hAnsi="宋体" w:eastAsia="宋体" w:cs="微软雅黑"/>
          <w:szCs w:val="21"/>
          <w:lang w:val="en-US" w:eastAsia="zh-CN"/>
        </w:rPr>
        <w:t>能为企业制订生产、经营计划，能分析和解决食品生产中技术、经营、管理的基本问题。</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、课程</w:t>
      </w:r>
      <w:r>
        <w:rPr>
          <w:rFonts w:hint="eastAsia" w:ascii="Times New Roman" w:hAnsi="Times New Roman" w:eastAsia="黑体" w:cs="Times New Roman"/>
          <w:sz w:val="28"/>
          <w:szCs w:val="28"/>
        </w:rPr>
        <w:t>设置及要求</w:t>
      </w:r>
    </w:p>
    <w:p>
      <w:pPr>
        <w:spacing w:line="360" w:lineRule="auto"/>
        <w:ind w:firstLine="480" w:firstLineChars="200"/>
        <w:rPr>
          <w:rFonts w:ascii="黑体" w:hAnsi="黑体" w:eastAsia="黑体" w:cs="黑体"/>
          <w:bCs/>
          <w:sz w:val="24"/>
        </w:rPr>
      </w:pPr>
      <w:r>
        <w:rPr>
          <w:rFonts w:hint="eastAsia" w:ascii="黑体" w:hAnsi="黑体" w:eastAsia="黑体" w:cs="黑体"/>
          <w:bCs/>
          <w:sz w:val="24"/>
        </w:rPr>
        <w:t xml:space="preserve">（一）课程体系 </w:t>
      </w:r>
    </w:p>
    <w:p>
      <w:pPr>
        <w:adjustRightInd w:val="0"/>
        <w:spacing w:line="360" w:lineRule="auto"/>
        <w:ind w:firstLine="420" w:firstLineChars="200"/>
        <w:outlineLvl w:val="2"/>
        <w:rPr>
          <w:rFonts w:ascii="宋体" w:hAnsi="宋体" w:eastAsia="宋体"/>
          <w:szCs w:val="21"/>
        </w:rPr>
      </w:pPr>
      <w:r>
        <w:rPr>
          <w:rFonts w:hint="eastAsia" w:ascii="宋体" w:hAnsi="宋体" w:eastAsia="宋体"/>
          <w:szCs w:val="21"/>
        </w:rPr>
        <w:t>本专业以职业能力为主线，构建了工学结合、学做一体、个性培养的课程体系，该体系分为公共课、专业核心课、其他专业课、实训实习课、公共选修课以及专业选修课等模块。公共基础课主要安排在第一、二学期完成，主要是使学生了解社会，提高学生人文科学素养，培养学生的社会能力，为进一步学习专业课程打好基础。部分公共基础课贯穿人才培养全过程，如劳动教育、创新创业教育。专业核心课程主要安排在第三、四学期，是形成学生职业素养和职业能力的最重要课程；其他专业课则是对专业核心课的有益辅助和补充，帮助学生更好地进行专业学习；实训实习课中的毕业设计（论文）安排在第五学期和第六期，顶岗实习安排在六学期，是专业理论知识和专业技能在实际工作的综合运用，也是专业教育在校外的延续，以提高学生的社会能力和职业工作能力，以及运用专业知识技能解决实际问题的能力。选修课主要安排专业外的拓展课程，以拓宽学生的知识面和提高学生人文科学素养。</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（二）公共基础课程</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公共基础课程教学内容及要求如表二所示。</w:t>
      </w:r>
    </w:p>
    <w:p>
      <w:pPr>
        <w:spacing w:line="360" w:lineRule="auto"/>
        <w:jc w:val="center"/>
        <w:rPr>
          <w:rFonts w:ascii="宋体" w:hAnsi="宋体" w:eastAsia="宋体" w:cs="微软雅黑"/>
          <w:szCs w:val="21"/>
        </w:rPr>
      </w:pPr>
      <w:r>
        <w:rPr>
          <w:rFonts w:hint="eastAsia" w:ascii="宋体" w:hAnsi="宋体" w:eastAsia="宋体" w:cs="微软雅黑"/>
          <w:szCs w:val="21"/>
        </w:rPr>
        <w:t>表二</w:t>
      </w:r>
      <w:r>
        <w:rPr>
          <w:rFonts w:ascii="宋体" w:hAnsi="宋体" w:eastAsia="宋体" w:cs="微软雅黑"/>
          <w:szCs w:val="21"/>
        </w:rPr>
        <w:t xml:space="preserve">  </w:t>
      </w:r>
      <w:r>
        <w:rPr>
          <w:rFonts w:hint="eastAsia" w:ascii="宋体" w:hAnsi="宋体" w:eastAsia="宋体" w:cs="微软雅黑"/>
          <w:szCs w:val="21"/>
        </w:rPr>
        <w:t>公共基础课程教学内容及要求</w:t>
      </w:r>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01" w:type="dxa"/>
            <w:vAlign w:val="center"/>
          </w:tcPr>
          <w:p>
            <w:pPr>
              <w:jc w:val="center"/>
              <w:rPr>
                <w:rFonts w:ascii="宋体" w:hAnsi="宋体" w:eastAsia="宋体" w:cs="微软雅黑"/>
                <w:szCs w:val="21"/>
              </w:rPr>
            </w:pPr>
            <w:r>
              <w:rPr>
                <w:rFonts w:hint="eastAsia" w:ascii="宋体" w:hAnsi="宋体" w:eastAsia="宋体" w:cs="微软雅黑"/>
                <w:szCs w:val="21"/>
              </w:rPr>
              <w:t>序号</w:t>
            </w:r>
          </w:p>
        </w:tc>
        <w:tc>
          <w:tcPr>
            <w:tcW w:w="1280" w:type="dxa"/>
            <w:vAlign w:val="center"/>
          </w:tcPr>
          <w:p>
            <w:pPr>
              <w:jc w:val="center"/>
              <w:rPr>
                <w:rFonts w:ascii="宋体" w:hAnsi="宋体" w:eastAsia="宋体" w:cs="微软雅黑"/>
                <w:szCs w:val="21"/>
              </w:rPr>
            </w:pPr>
            <w:r>
              <w:rPr>
                <w:rFonts w:hint="eastAsia" w:ascii="宋体" w:hAnsi="宋体" w:eastAsia="宋体" w:cs="微软雅黑"/>
                <w:szCs w:val="21"/>
              </w:rPr>
              <w:t>课程名称</w:t>
            </w:r>
          </w:p>
        </w:tc>
        <w:tc>
          <w:tcPr>
            <w:tcW w:w="6838" w:type="dxa"/>
            <w:vAlign w:val="center"/>
          </w:tcPr>
          <w:p>
            <w:pPr>
              <w:jc w:val="center"/>
              <w:rPr>
                <w:rFonts w:ascii="宋体" w:hAnsi="宋体" w:eastAsia="宋体" w:cs="微软雅黑"/>
                <w:szCs w:val="21"/>
              </w:rPr>
            </w:pPr>
            <w:r>
              <w:rPr>
                <w:rFonts w:hint="eastAsia" w:ascii="宋体" w:hAnsi="宋体" w:eastAsia="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lang w:bidi="ar"/>
              </w:rPr>
              <w:t>军事理论</w:t>
            </w:r>
          </w:p>
        </w:tc>
        <w:tc>
          <w:tcPr>
            <w:tcW w:w="6838"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lang w:bidi="ar"/>
              </w:rPr>
              <w:t>通过本课程教学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2</w:t>
            </w:r>
          </w:p>
        </w:tc>
        <w:tc>
          <w:tcPr>
            <w:tcW w:w="1280"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军事技能</w:t>
            </w:r>
          </w:p>
        </w:tc>
        <w:tc>
          <w:tcPr>
            <w:tcW w:w="6838" w:type="dxa"/>
            <w:vAlign w:val="center"/>
          </w:tcPr>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课程通过共同条例教育，分队的队列动作等，掌握基本的军事技能，培养良好的军人素质和作风。增强组织性和纪律性，培养吃苦耐劳和顽强拼搏的精神，促进校纪校风和校园精神文明建设。同时使增强国防观念、国家安全意识和忧患危机意识，弘扬爱国主义精神、传承红色基因、提高学生综合国防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3</w:t>
            </w:r>
          </w:p>
        </w:tc>
        <w:tc>
          <w:tcPr>
            <w:tcW w:w="1280"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毛泽东思想和中国特色社会主义理论体系概论</w:t>
            </w:r>
          </w:p>
        </w:tc>
        <w:tc>
          <w:tcPr>
            <w:tcW w:w="6838" w:type="dxa"/>
            <w:vAlign w:val="center"/>
          </w:tcPr>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课程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4</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lang w:bidi="ar"/>
              </w:rPr>
              <w:t>思想道德修养与法律基础</w:t>
            </w:r>
          </w:p>
        </w:tc>
        <w:tc>
          <w:tcPr>
            <w:tcW w:w="6838" w:type="dxa"/>
            <w:vAlign w:val="center"/>
          </w:tcPr>
          <w:p>
            <w:pPr>
              <w:widowControl/>
              <w:ind w:firstLine="420" w:firstLineChars="200"/>
              <w:rPr>
                <w:rFonts w:ascii="宋体" w:hAnsi="宋体" w:eastAsia="宋体" w:cs="微软雅黑"/>
                <w:szCs w:val="21"/>
              </w:rPr>
            </w:pPr>
            <w:r>
              <w:rPr>
                <w:rFonts w:hint="eastAsia" w:ascii="宋体" w:hAnsi="宋体" w:eastAsia="宋体" w:cs="宋体"/>
                <w:color w:val="000000"/>
                <w:kern w:val="0"/>
                <w:szCs w:val="21"/>
                <w:lang w:bidi="ar"/>
              </w:rPr>
              <w:t xml:space="preserve">本课程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5</w:t>
            </w:r>
          </w:p>
        </w:tc>
        <w:tc>
          <w:tcPr>
            <w:tcW w:w="1280"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形势与政策</w:t>
            </w:r>
          </w:p>
        </w:tc>
        <w:tc>
          <w:tcPr>
            <w:tcW w:w="6838" w:type="dxa"/>
            <w:vAlign w:val="center"/>
          </w:tcPr>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通过本课程的教学，使学生了解国内外的重大时事，全面认识和正确理解党的基本路线、重大方针和政策，认清形势和任务，掌握时代的脉搏，激发爱国主义精神，增强民主自信心和社会责任感，珍惜和维护国家稳定的大局，为建设有中国特色的社会主义而奋发学习、健康成长。课程内容紧密结合国内外形势，紧密结合学生的思想实际，通过适时地进行形势政策、世界政治经济与国际关系基本知识的教育，帮助学生开阔视野，及时了解和正确对待国内外重大时事，使学生在改革开放的环境下有坚定的立场、有较强的分析能力和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6</w:t>
            </w:r>
          </w:p>
        </w:tc>
        <w:tc>
          <w:tcPr>
            <w:tcW w:w="1280" w:type="dxa"/>
            <w:vAlign w:val="center"/>
          </w:tcPr>
          <w:p>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英语</w:t>
            </w:r>
          </w:p>
        </w:tc>
        <w:tc>
          <w:tcPr>
            <w:tcW w:w="6838" w:type="dxa"/>
            <w:vAlign w:val="center"/>
          </w:tcPr>
          <w:p>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本课程以培养学生实际应用英语的能力为目标，侧重职场环境中英语实际能力的培养，使学生逐步提高用英语进行交流和沟通的能力。同时，使学生掌握有效的学习方法和策略，培养学生的学习兴趣和自主学习能力，提高学生的综合文化素养和跨文化交际意识，为提升学生的就业竞争力及未来的可持续发展打下必要的基础。掌握 3500 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7</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lang w:bidi="ar"/>
              </w:rPr>
              <w:t>体育</w:t>
            </w:r>
          </w:p>
        </w:tc>
        <w:tc>
          <w:tcPr>
            <w:tcW w:w="6838"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lang w:bidi="ar"/>
              </w:rPr>
              <w:t>本课程中身体素质锻炼贯穿始终，学生通过该课程学习，在运动参与、运动技能、身体健康、心理健康和社会适应五个学习领域中有所提高，掌握科学锻炼的基本知识、技术，培养其锻炼的兴趣和习惯，以充分发挥学生的主体能动性，为终身体育打下基础。通过课程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8</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lang w:bidi="ar"/>
              </w:rPr>
              <w:t>体育测试</w:t>
            </w:r>
          </w:p>
        </w:tc>
        <w:tc>
          <w:tcPr>
            <w:tcW w:w="6838"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对学生身高、体重、肺活量、坐立体前屈、立定跳远、50米、1分钟仰卧起坐（女）、引体向上（男）、800米跑（女）、1000米跑（男）等的测试，对学生体质状况和体育锻炼效果进行评价，以指导学生科学开展体育活动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9</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lang w:bidi="ar"/>
              </w:rPr>
              <w:t>信息技术</w:t>
            </w:r>
          </w:p>
        </w:tc>
        <w:tc>
          <w:tcPr>
            <w:tcW w:w="6838"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lang w:bidi="ar"/>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10</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大学语文</w:t>
            </w:r>
          </w:p>
        </w:tc>
        <w:tc>
          <w:tcPr>
            <w:tcW w:w="6838" w:type="dxa"/>
            <w:vAlign w:val="center"/>
          </w:tcPr>
          <w:p>
            <w:pPr>
              <w:widowControl/>
              <w:ind w:firstLine="42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Cs w:val="21"/>
                <w:lang w:bidi="ar"/>
              </w:rPr>
              <w:t>通过本课程教学提高和强化学生对本民族语言文字的理解能力和运用水平。帮助学生继续积累本国语文的有关知识，继续培养他们阅读分析能力和文字表达能力，打好扎实的语文根底。通过阅读理解文学作品提高学生的思维品质和审美悟性。教育、引导学生阅读理解优秀的文学作品，帮助他们突破思维定势，激发创造精神，学会形象思维与逻辑思维，从而建构起开放灵活的思维方式。同时，在教学的过程中，帮助学生辨别真善美与假恶丑，培养丰富的想象和联想能力，提高审美悟性，形成健康高雅的审美心理和情趣。以中国文学所体现的人文精神及优秀传统熏陶学生。要把传授知识与陶冶情操结合起来，发掘优秀文学作品所蕴涵的内在思想教育、情感熏陶因素，帮助学生树立正确的世界观、人生观和价值观，增强爱国主义精神和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11</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lang w:bidi="ar"/>
              </w:rPr>
              <w:t>大学生心理健康</w:t>
            </w:r>
          </w:p>
        </w:tc>
        <w:tc>
          <w:tcPr>
            <w:tcW w:w="6838"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lang w:bidi="ar"/>
              </w:rPr>
              <w:t>本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r>
              <w:rPr>
                <w:rFonts w:hint="eastAsia" w:ascii="宋体" w:hAnsi="宋体" w:eastAsia="宋体" w:cs="宋体"/>
                <w:color w:val="000000"/>
                <w:kern w:val="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12</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大学生职业发展和就业指导</w:t>
            </w:r>
          </w:p>
        </w:tc>
        <w:tc>
          <w:tcPr>
            <w:tcW w:w="6838" w:type="dxa"/>
            <w:vAlign w:val="center"/>
          </w:tcPr>
          <w:p>
            <w:pPr>
              <w:widowControl/>
              <w:ind w:firstLine="42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Cs w:val="21"/>
                <w:lang w:bidi="ar"/>
              </w:rPr>
              <w:t>本课程是公共必修课程，既强调职业在人生发展中的重要地位，又关注学生的全面发展和终身发展。通过激发学生职业生涯发展的自主意识，树立科学的就业观、创业观，促使大学生理性地规划自身未来的发展，并努力在学习过程中自觉地提高就业能力和创新能力。通过本课程的教学，培养大学生职业生涯发展的自主意识，教育引导学生树立积极正确的人生观、价值观和就业观，自觉把个人发展和国家需要、社会发展相结合，为个人生涯发展和社会发展不懈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13</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lang w:bidi="ar"/>
              </w:rPr>
              <w:t>大学生创新创业指导</w:t>
            </w:r>
          </w:p>
        </w:tc>
        <w:tc>
          <w:tcPr>
            <w:tcW w:w="6838"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lang w:bidi="ar"/>
              </w:rPr>
              <w:t xml:space="preserve">本课程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有利于引导高职学生理性规划个人职业生涯发展，帮助高职学生了解社会需要及认识自身优势，促进学生职业素质发展，激发创业精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14</w:t>
            </w:r>
          </w:p>
        </w:tc>
        <w:tc>
          <w:tcPr>
            <w:tcW w:w="1280"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国家安全教育</w:t>
            </w:r>
          </w:p>
        </w:tc>
        <w:tc>
          <w:tcPr>
            <w:tcW w:w="6838"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本课程教学并结合专题教育，使学生能够深入理解和准确把握总体国家安全观，牢固树立国家利益至上的观念，增强自觉维护国家安全意识，具备维护国家安全的能力。并要求学生系统掌握总体国家安全观的内涵和精神实质，理解中国特色国家安全体系，树立国家安全底线思维，将国家安全意识转化为自觉行动，强化责任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15</w:t>
            </w:r>
          </w:p>
        </w:tc>
        <w:tc>
          <w:tcPr>
            <w:tcW w:w="1280" w:type="dxa"/>
            <w:vAlign w:val="center"/>
          </w:tcPr>
          <w:p>
            <w:pPr>
              <w:spacing w:line="360" w:lineRule="auto"/>
              <w:jc w:val="center"/>
              <w:rPr>
                <w:rFonts w:ascii="宋体" w:hAnsi="宋体" w:eastAsia="宋体" w:cs="微软雅黑"/>
                <w:szCs w:val="21"/>
              </w:rPr>
            </w:pPr>
            <w:r>
              <w:rPr>
                <w:rFonts w:ascii="宋体" w:hAnsi="宋体" w:eastAsia="宋体" w:cs="微软雅黑"/>
                <w:szCs w:val="21"/>
              </w:rPr>
              <w:t>劳动专题教育</w:t>
            </w:r>
          </w:p>
        </w:tc>
        <w:tc>
          <w:tcPr>
            <w:tcW w:w="6838"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劳动精神专题教育、劳模精神专题教育以及工匠精神专题教育等，使学生能够理解和形成马克思主义劳动观，牢固树立劳动最光荣、劳动最崇高、劳动最伟大、劳动最美丽的观念，促使学生养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16</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劳动</w:t>
            </w:r>
          </w:p>
        </w:tc>
        <w:tc>
          <w:tcPr>
            <w:tcW w:w="6838"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本课程将劳动分为校内劳动实践和校外劳动实践两个部分。其中校内劳动实践包括：实训室、课室、卫生间、楼道、周边草坪及指定区域的清洁；校外劳动实践包括：寒暑假社会实践、志愿者活动及其他有益于身心发展的劳动实践。学生通过劳动实践，体会劳动创造美好生活，认可劳动不分贵贱，培养勤俭、奋斗、创新、奉献的劳动精神，形成良好的劳动习惯，具备满足生存发展需要的基本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hint="default" w:ascii="宋体" w:hAnsi="宋体" w:eastAsia="宋体" w:cs="微软雅黑"/>
                <w:szCs w:val="21"/>
                <w:lang w:val="en-US" w:eastAsia="zh-CN"/>
              </w:rPr>
            </w:pPr>
            <w:r>
              <w:rPr>
                <w:rFonts w:hint="eastAsia" w:ascii="宋体" w:hAnsi="宋体" w:eastAsia="宋体" w:cs="微软雅黑"/>
                <w:szCs w:val="21"/>
                <w:lang w:val="en-US" w:eastAsia="zh-CN"/>
              </w:rPr>
              <w:t>17</w:t>
            </w:r>
          </w:p>
        </w:tc>
        <w:tc>
          <w:tcPr>
            <w:tcW w:w="1280" w:type="dxa"/>
            <w:vAlign w:val="center"/>
          </w:tcPr>
          <w:p>
            <w:pPr>
              <w:spacing w:line="360" w:lineRule="auto"/>
              <w:jc w:val="center"/>
              <w:rPr>
                <w:rFonts w:hint="eastAsia" w:ascii="宋体" w:hAnsi="宋体" w:eastAsia="宋体" w:cs="微软雅黑"/>
                <w:szCs w:val="21"/>
              </w:rPr>
            </w:pPr>
            <w:r>
              <w:rPr>
                <w:rFonts w:hint="eastAsia" w:ascii="宋体" w:hAnsi="宋体" w:eastAsia="宋体" w:cs="微软雅黑"/>
                <w:color w:val="FF0000"/>
                <w:szCs w:val="21"/>
              </w:rPr>
              <w:t>习近平新时代中国特色社会主义思想概论</w:t>
            </w:r>
          </w:p>
        </w:tc>
        <w:tc>
          <w:tcPr>
            <w:tcW w:w="6838" w:type="dxa"/>
            <w:vAlign w:val="center"/>
          </w:tcPr>
          <w:p>
            <w:pPr>
              <w:widowControl/>
              <w:ind w:firstLine="420" w:firstLineChars="200"/>
              <w:jc w:val="left"/>
              <w:rPr>
                <w:rFonts w:hint="eastAsia" w:ascii="宋体" w:hAnsi="宋体" w:eastAsia="宋体" w:cs="微软雅黑"/>
                <w:szCs w:val="21"/>
              </w:rPr>
            </w:pPr>
            <w:r>
              <w:rPr>
                <w:rFonts w:hint="eastAsia" w:ascii="宋体" w:hAnsi="宋体" w:eastAsia="宋体" w:cs="微软雅黑"/>
                <w:color w:val="FF0000"/>
                <w:szCs w:val="21"/>
              </w:rPr>
              <w:t>通过本课程的学习，学生能够全面、准确地理解习近平新时代中国特色社会主义思想创立的时代背景，掌握习近平新时代中国特色社会主义思想的科学理论体系，包括“五新”：一是新时代，二是新矛盾，三是新思想（理论主题、核心要义、核心内容），四是新征程，五是新建设（五位一体、党的建设），从而认识习近平新时代中国特色社会主义思想的历史地位和重大意义，增强学生对习近平新时代中国特色社会主义思想的政治认同、思想认同和情感认同，坚定走中国特色社会主义道路的决心和信心。</w:t>
            </w:r>
          </w:p>
        </w:tc>
      </w:tr>
    </w:tbl>
    <w:p>
      <w:pPr>
        <w:spacing w:line="360" w:lineRule="auto"/>
        <w:rPr>
          <w:rFonts w:ascii="宋体" w:hAnsi="宋体" w:eastAsia="宋体" w:cs="微软雅黑"/>
          <w:szCs w:val="21"/>
        </w:rPr>
      </w:pPr>
    </w:p>
    <w:p>
      <w:pPr>
        <w:adjustRightInd w:val="0"/>
        <w:spacing w:line="360" w:lineRule="auto"/>
        <w:ind w:firstLine="480" w:firstLineChars="200"/>
        <w:outlineLvl w:val="2"/>
        <w:rPr>
          <w:rFonts w:ascii="黑体" w:hAnsi="黑体" w:eastAsia="黑体" w:cs="Times New Roman"/>
          <w:sz w:val="24"/>
          <w:szCs w:val="24"/>
          <w:highlight w:val="none"/>
        </w:rPr>
      </w:pPr>
      <w:r>
        <w:rPr>
          <w:rFonts w:hint="eastAsia" w:ascii="黑体" w:hAnsi="黑体" w:eastAsia="黑体" w:cs="Times New Roman"/>
          <w:sz w:val="24"/>
          <w:szCs w:val="24"/>
        </w:rPr>
        <w:t>（三）</w:t>
      </w:r>
      <w:r>
        <w:rPr>
          <w:rFonts w:hint="eastAsia" w:ascii="黑体" w:hAnsi="黑体" w:eastAsia="黑体" w:cs="Times New Roman"/>
          <w:sz w:val="24"/>
          <w:szCs w:val="24"/>
          <w:highlight w:val="none"/>
        </w:rPr>
        <w:t>专业（技能）课程</w:t>
      </w:r>
    </w:p>
    <w:p>
      <w:pPr>
        <w:spacing w:line="360" w:lineRule="auto"/>
        <w:ind w:firstLine="422" w:firstLineChars="200"/>
        <w:rPr>
          <w:rFonts w:ascii="宋体" w:hAnsi="宋体" w:eastAsia="宋体" w:cs="微软雅黑"/>
          <w:b/>
          <w:bCs/>
          <w:szCs w:val="21"/>
        </w:rPr>
      </w:pPr>
      <w:r>
        <w:rPr>
          <w:rFonts w:hint="eastAsia" w:ascii="宋体" w:hAnsi="宋体" w:eastAsia="宋体" w:cs="微软雅黑"/>
          <w:b/>
          <w:bCs/>
          <w:szCs w:val="21"/>
        </w:rPr>
        <w:t>1.专业核心课程</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食品检验检测技术专业核心课程教学内容及要求如表三所示。</w:t>
      </w:r>
    </w:p>
    <w:p>
      <w:pPr>
        <w:spacing w:line="360" w:lineRule="auto"/>
        <w:jc w:val="center"/>
        <w:rPr>
          <w:rFonts w:ascii="宋体" w:hAnsi="宋体" w:eastAsia="宋体" w:cs="微软雅黑"/>
          <w:szCs w:val="21"/>
          <w:highlight w:val="none"/>
        </w:rPr>
      </w:pPr>
      <w:r>
        <w:rPr>
          <w:rFonts w:hint="eastAsia" w:ascii="宋体" w:hAnsi="宋体" w:eastAsia="宋体" w:cs="微软雅黑"/>
          <w:szCs w:val="21"/>
        </w:rPr>
        <w:t>表三</w:t>
      </w:r>
      <w:r>
        <w:rPr>
          <w:rFonts w:ascii="宋体" w:hAnsi="宋体" w:eastAsia="宋体" w:cs="微软雅黑"/>
          <w:szCs w:val="21"/>
        </w:rPr>
        <w:t xml:space="preserve"> </w:t>
      </w:r>
      <w:r>
        <w:rPr>
          <w:rFonts w:hint="eastAsia" w:ascii="宋体" w:hAnsi="宋体" w:eastAsia="宋体" w:cs="微软雅黑"/>
          <w:szCs w:val="21"/>
          <w:highlight w:val="none"/>
        </w:rPr>
        <w:t>食品检验检测技术专业核心课程教学内容及要求</w:t>
      </w:r>
    </w:p>
    <w:tbl>
      <w:tblPr>
        <w:tblStyle w:val="13"/>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01" w:type="dxa"/>
            <w:vAlign w:val="center"/>
          </w:tcPr>
          <w:p>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序号</w:t>
            </w:r>
          </w:p>
        </w:tc>
        <w:tc>
          <w:tcPr>
            <w:tcW w:w="1280" w:type="dxa"/>
            <w:vAlign w:val="center"/>
          </w:tcPr>
          <w:p>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课程名称</w:t>
            </w:r>
          </w:p>
        </w:tc>
        <w:tc>
          <w:tcPr>
            <w:tcW w:w="7033" w:type="dxa"/>
            <w:vAlign w:val="center"/>
          </w:tcPr>
          <w:p>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280" w:type="dxa"/>
            <w:vAlign w:val="center"/>
          </w:tcPr>
          <w:p>
            <w:pPr>
              <w:adjustRightInd w:val="0"/>
              <w:snapToGrid w:val="0"/>
              <w:rPr>
                <w:rFonts w:ascii="宋体" w:hAnsi="宋体" w:eastAsia="宋体" w:cs="宋体"/>
                <w:color w:val="000000"/>
                <w:kern w:val="0"/>
                <w:szCs w:val="21"/>
                <w:lang w:bidi="ar"/>
              </w:rPr>
            </w:pPr>
            <w:r>
              <w:rPr>
                <w:rFonts w:hint="eastAsia" w:ascii="宋体" w:hAnsi="宋体" w:eastAsia="宋体" w:cs="宋体"/>
              </w:rPr>
              <w:t>有机化学</w:t>
            </w:r>
          </w:p>
        </w:tc>
        <w:tc>
          <w:tcPr>
            <w:tcW w:w="7033" w:type="dxa"/>
          </w:tcPr>
          <w:p>
            <w:pPr>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课程的功能是通过课堂教学和实践教学相结合，使学生掌握各类有机化合物的性质及其在食品生产、加工和检测中的应用，最终能掌握有机化学产品生产的基本原理，基本方法、培养科学的思维方法，灵活运用知识的能力，实验操作能力，使学生具有较强的的发现问题、分析问题、解决问题的能力、为更好地学习专业知识，进一步掌握新的科学知识，培养和造就食品产品的加工和检测专门人才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1280" w:type="dxa"/>
            <w:vAlign w:val="center"/>
          </w:tcPr>
          <w:p>
            <w:pPr>
              <w:adjustRightInd w:val="0"/>
              <w:snapToGrid w:val="0"/>
              <w:rPr>
                <w:rFonts w:ascii="宋体" w:hAnsi="宋体" w:eastAsia="宋体" w:cs="宋体"/>
              </w:rPr>
            </w:pPr>
            <w:r>
              <w:rPr>
                <w:rFonts w:hint="eastAsia" w:ascii="宋体" w:hAnsi="宋体" w:eastAsia="宋体" w:cs="宋体"/>
              </w:rPr>
              <w:t>食品原料学</w:t>
            </w:r>
          </w:p>
        </w:tc>
        <w:tc>
          <w:tcPr>
            <w:tcW w:w="7033" w:type="dxa"/>
          </w:tcPr>
          <w:p>
            <w:pPr>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课程的主要内容为食品原料的分类、保鲜贮藏的原理及方法以及畜禽原料、水产食品原料、果蔬原料、粮油原料等的来源、组织结构和形态、化学组成及性质、品质和加工特性等，是食品加工的专业基础课。通过本课程的学习，使学生掌握各类食品原料的基础知识，能够合理有效地利用食品原料，为后续课程的学习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1280" w:type="dxa"/>
            <w:vAlign w:val="center"/>
          </w:tcPr>
          <w:p>
            <w:pPr>
              <w:adjustRightInd w:val="0"/>
              <w:snapToGrid w:val="0"/>
              <w:jc w:val="center"/>
              <w:rPr>
                <w:rFonts w:ascii="宋体" w:hAnsi="宋体" w:eastAsia="宋体" w:cs="宋体"/>
              </w:rPr>
            </w:pPr>
            <w:r>
              <w:rPr>
                <w:rFonts w:hint="eastAsia" w:ascii="宋体" w:hAnsi="宋体" w:eastAsia="宋体" w:cs="宋体"/>
              </w:rPr>
              <w:t>食品微生物检验技术</w:t>
            </w:r>
          </w:p>
        </w:tc>
        <w:tc>
          <w:tcPr>
            <w:tcW w:w="7033" w:type="dxa"/>
          </w:tcPr>
          <w:p>
            <w:pPr>
              <w:ind w:firstLine="420" w:firstLineChars="200"/>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bidi="ar"/>
              </w:rPr>
              <w:t>本课程是实践性课程，主要内容包括食品微生物学基础、食品受微生物污染的途径、食品腐败、食品卫生和食品传播的疾病及食品微生物学检验等内容。使学生掌握食品微生物检验技术的基础知识和前沿动态，培养学生独立开展本学科研究的能力和从事与食品有关的公共卫生工作的能力</w:t>
            </w:r>
            <w:r>
              <w:rPr>
                <w:rFonts w:hint="eastAsia" w:ascii="宋体" w:hAnsi="宋体" w:eastAsia="宋体" w:cs="宋体"/>
                <w:color w:val="000000"/>
                <w:kern w:val="0"/>
                <w:szCs w:val="21"/>
                <w:lang w:eastAsia="zh-CN" w:bidi="ar"/>
              </w:rPr>
              <w:t>，通过本门课程学习，学生可以掌握全面掌握食品微生物检验技术的基础理论，开发利用有利微生物，利用有益的微生物发酵生产调味品和食品，拓展食品的种类;控制引起食品腐败、导致食源性食物中毒的有害微生物，延长食品的货架期，保证食品的质量和安全性，杜绝食物中毒。使学生完成本门课程的学习任务之后，将食品微生物检验技术运用于食品检测工作中。</w:t>
            </w:r>
          </w:p>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1280" w:type="dxa"/>
            <w:vAlign w:val="center"/>
          </w:tcPr>
          <w:p>
            <w:pPr>
              <w:adjustRightInd w:val="0"/>
              <w:snapToGrid w:val="0"/>
              <w:jc w:val="center"/>
              <w:rPr>
                <w:rFonts w:ascii="宋体" w:hAnsi="宋体" w:eastAsia="宋体" w:cs="宋体"/>
              </w:rPr>
            </w:pPr>
            <w:r>
              <w:rPr>
                <w:rFonts w:hint="eastAsia" w:ascii="宋体" w:hAnsi="宋体" w:eastAsia="宋体" w:cs="宋体"/>
              </w:rPr>
              <w:t>食品基础化学</w:t>
            </w:r>
          </w:p>
        </w:tc>
        <w:tc>
          <w:tcPr>
            <w:tcW w:w="7033" w:type="dxa"/>
          </w:tcPr>
          <w:p>
            <w:pPr>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通过本课程学习，使学生掌握食品的主要组成水、糖类、蛋白质、脂类、维生素、矿物质以及酶、色、香、味物质、食品添加剂等的结构、性质及在食品加工和储藏中发生的化学变化，以及这些变化对食品品质和安全性的影响及其控制措施。从化学的角度去研究食品的组成、结构、理化性质、营养和安全性等相关化学知识。理论和实践有机结合，主要为学生进一步学习食品加工和检测相关专业的理论和技术提供必要的基础，同时也为学生今后从事食品加工、食品检测等相关领域的研究打下坚实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1280" w:type="dxa"/>
            <w:vAlign w:val="center"/>
          </w:tcPr>
          <w:p>
            <w:pPr>
              <w:adjustRightInd w:val="0"/>
              <w:snapToGrid w:val="0"/>
              <w:jc w:val="center"/>
              <w:rPr>
                <w:rFonts w:ascii="宋体" w:hAnsi="宋体" w:eastAsia="宋体" w:cs="宋体"/>
              </w:rPr>
            </w:pPr>
            <w:r>
              <w:rPr>
                <w:rFonts w:hint="eastAsia" w:ascii="宋体" w:hAnsi="宋体" w:eastAsia="宋体" w:cs="宋体"/>
              </w:rPr>
              <w:t>检测实验室管理</w:t>
            </w:r>
          </w:p>
        </w:tc>
        <w:tc>
          <w:tcPr>
            <w:tcW w:w="7033" w:type="dxa"/>
          </w:tcPr>
          <w:p>
            <w:pPr>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课程主要介绍实验室安全的重要性、实验室安全教育的必要性、实验室安全相关法律、法规、标准和指南、消防安全、用电安全、危险化学品、病原微生物实验室生物安全、实验动物安全等内容。使学生系统学习检测实验室管理体系的建立步骤和管理体系文件的编制，并了解检测实验室申请中国合格评定国家认可委员会（</w:t>
            </w:r>
            <w:r>
              <w:rPr>
                <w:rFonts w:ascii="宋体" w:hAnsi="宋体" w:eastAsia="宋体" w:cs="宋体"/>
                <w:color w:val="000000"/>
                <w:kern w:val="0"/>
                <w:szCs w:val="21"/>
                <w:lang w:bidi="ar"/>
              </w:rPr>
              <w:t>CNAS）认可的步骤和注意事项，</w:t>
            </w:r>
            <w:r>
              <w:rPr>
                <w:rFonts w:hint="eastAsia" w:ascii="宋体" w:hAnsi="宋体" w:eastAsia="宋体" w:cs="宋体"/>
                <w:color w:val="000000"/>
                <w:kern w:val="0"/>
                <w:szCs w:val="21"/>
                <w:lang w:bidi="ar"/>
              </w:rPr>
              <w:t>学会</w:t>
            </w:r>
            <w:r>
              <w:rPr>
                <w:rFonts w:ascii="宋体" w:hAnsi="宋体" w:eastAsia="宋体" w:cs="宋体"/>
                <w:color w:val="000000"/>
                <w:kern w:val="0"/>
                <w:szCs w:val="21"/>
                <w:lang w:bidi="ar"/>
              </w:rPr>
              <w:t>质量手册、程序文件及管理表格的</w:t>
            </w:r>
            <w:r>
              <w:rPr>
                <w:rFonts w:hint="eastAsia" w:ascii="宋体" w:hAnsi="宋体" w:eastAsia="宋体" w:cs="宋体"/>
                <w:color w:val="000000"/>
                <w:kern w:val="0"/>
                <w:szCs w:val="21"/>
                <w:lang w:bidi="ar"/>
              </w:rPr>
              <w:t>填写</w:t>
            </w:r>
            <w:r>
              <w:rPr>
                <w:rFonts w:ascii="宋体" w:hAnsi="宋体" w:eastAsia="宋体" w:cs="宋体"/>
                <w:color w:val="000000"/>
                <w:kern w:val="0"/>
                <w:szCs w:val="21"/>
                <w:lang w:bidi="ar"/>
              </w:rPr>
              <w:t>，建立管理体系和申请实验室认可，</w:t>
            </w:r>
            <w:r>
              <w:rPr>
                <w:rFonts w:hint="eastAsia" w:ascii="宋体" w:hAnsi="宋体" w:eastAsia="宋体" w:cs="宋体"/>
                <w:color w:val="000000"/>
                <w:kern w:val="0"/>
                <w:szCs w:val="21"/>
                <w:lang w:bidi="ar"/>
              </w:rPr>
              <w:t>对于走向</w:t>
            </w:r>
            <w:r>
              <w:rPr>
                <w:rFonts w:ascii="宋体" w:hAnsi="宋体" w:eastAsia="宋体" w:cs="宋体"/>
                <w:color w:val="000000"/>
                <w:kern w:val="0"/>
                <w:szCs w:val="21"/>
                <w:lang w:bidi="ar"/>
              </w:rPr>
              <w:t>检测实验室</w:t>
            </w:r>
            <w:r>
              <w:rPr>
                <w:rFonts w:hint="eastAsia" w:ascii="宋体" w:hAnsi="宋体" w:eastAsia="宋体" w:cs="宋体"/>
                <w:color w:val="000000"/>
                <w:kern w:val="0"/>
                <w:szCs w:val="21"/>
                <w:lang w:bidi="ar"/>
              </w:rPr>
              <w:t>岗位</w:t>
            </w:r>
            <w:r>
              <w:rPr>
                <w:rFonts w:ascii="宋体" w:hAnsi="宋体" w:eastAsia="宋体" w:cs="宋体"/>
                <w:color w:val="000000"/>
                <w:kern w:val="0"/>
                <w:szCs w:val="21"/>
                <w:lang w:bidi="ar"/>
              </w:rPr>
              <w:t>人员</w:t>
            </w:r>
            <w:r>
              <w:rPr>
                <w:rFonts w:hint="eastAsia" w:ascii="宋体" w:hAnsi="宋体" w:eastAsia="宋体" w:cs="宋体"/>
                <w:color w:val="000000"/>
                <w:kern w:val="0"/>
                <w:szCs w:val="21"/>
                <w:lang w:bidi="ar"/>
              </w:rPr>
              <w:t>来说，是必备的理论指导。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1280" w:type="dxa"/>
            <w:vAlign w:val="center"/>
          </w:tcPr>
          <w:p>
            <w:pPr>
              <w:adjustRightInd w:val="0"/>
              <w:snapToGrid w:val="0"/>
              <w:jc w:val="center"/>
              <w:rPr>
                <w:rFonts w:ascii="宋体" w:hAnsi="宋体" w:eastAsia="宋体" w:cs="宋体"/>
              </w:rPr>
            </w:pPr>
            <w:r>
              <w:rPr>
                <w:rFonts w:hint="eastAsia" w:ascii="宋体" w:hAnsi="宋体" w:eastAsia="宋体" w:cs="宋体"/>
              </w:rPr>
              <w:t>食品标准与法规</w:t>
            </w:r>
          </w:p>
        </w:tc>
        <w:tc>
          <w:tcPr>
            <w:tcW w:w="7033" w:type="dxa"/>
          </w:tcPr>
          <w:p>
            <w:pPr>
              <w:ind w:firstLine="420" w:firstLineChars="200"/>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食品标准水平决定食品质量与安全性的高低，食品质量与安全关系到广大人民群众的身体健康和生命安全，关系到经济健康发展和社会稳定，</w:t>
            </w:r>
            <w:r>
              <w:rPr>
                <w:rFonts w:hint="eastAsia" w:ascii="宋体" w:hAnsi="宋体" w:eastAsia="宋体" w:cs="宋体"/>
                <w:color w:val="000000"/>
                <w:kern w:val="0"/>
                <w:szCs w:val="21"/>
                <w:lang w:val="en-US" w:eastAsia="zh-CN" w:bidi="ar"/>
              </w:rPr>
              <w:t>《食品标准与法规》作为高职食品专业的核心课程，以食品标准与标准化、食品法律法规、食品生产许可和食品产品认证管理为主线，分别介绍了食品标准与法规的概念与作用、食品企业标准的编制程序与要求、食品企业标准化与标准体系的内容和要求、我国主要的食品标准与法规等。本课程以职业岗位需求为依据，以能力培养为本位，以适应、实用为原则，着力培养学生运用食品法律法规和标准知识，解决食品生产经营和质量监督实际问题的能力。</w:t>
            </w:r>
          </w:p>
          <w:p>
            <w:pPr>
              <w:ind w:firstLine="420" w:firstLineChars="200"/>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c>
          <w:tcPr>
            <w:tcW w:w="1280" w:type="dxa"/>
            <w:vAlign w:val="center"/>
          </w:tcPr>
          <w:p>
            <w:pPr>
              <w:adjustRightInd w:val="0"/>
              <w:snapToGrid w:val="0"/>
              <w:jc w:val="center"/>
              <w:rPr>
                <w:rFonts w:ascii="宋体" w:hAnsi="宋体" w:eastAsia="宋体" w:cs="宋体"/>
              </w:rPr>
            </w:pPr>
            <w:r>
              <w:rPr>
                <w:rFonts w:hint="eastAsia" w:ascii="宋体" w:hAnsi="宋体" w:eastAsia="宋体" w:cs="宋体"/>
              </w:rPr>
              <w:t>食品安全与质量控制</w:t>
            </w:r>
          </w:p>
        </w:tc>
        <w:tc>
          <w:tcPr>
            <w:tcW w:w="7033" w:type="dxa"/>
          </w:tcPr>
          <w:p>
            <w:pPr>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课程主要学习食品质量与安全管理的基本概念、理论和方法，介绍食品质量与安全的监管体系（机构、组织），支持体系（法规、标准、规范）及过程控制体系[食品良好操作规范（GAP和GMP）、食品卫生标准操作规范（SSOP）、食品危害分析与关键点控制（HACCP）和ISO9001质量保证标准系列以及食品质量检验的技术和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1280" w:type="dxa"/>
            <w:vAlign w:val="center"/>
          </w:tcPr>
          <w:p>
            <w:pPr>
              <w:adjustRightInd w:val="0"/>
              <w:snapToGrid w:val="0"/>
              <w:jc w:val="center"/>
              <w:rPr>
                <w:rFonts w:ascii="宋体" w:hAnsi="宋体" w:eastAsia="宋体" w:cs="宋体"/>
              </w:rPr>
            </w:pPr>
            <w:r>
              <w:rPr>
                <w:rFonts w:hint="eastAsia" w:ascii="宋体" w:hAnsi="宋体" w:eastAsia="宋体" w:cs="宋体"/>
              </w:rPr>
              <w:t>粮</w:t>
            </w:r>
            <w:r>
              <w:rPr>
                <w:rFonts w:hint="eastAsia" w:ascii="宋体" w:hAnsi="宋体" w:eastAsia="宋体" w:cs="宋体"/>
                <w:lang w:val="en-US" w:eastAsia="zh-CN"/>
              </w:rPr>
              <w:t>油</w:t>
            </w:r>
            <w:r>
              <w:rPr>
                <w:rFonts w:hint="eastAsia" w:ascii="宋体" w:hAnsi="宋体" w:eastAsia="宋体" w:cs="宋体"/>
              </w:rPr>
              <w:t>加工检验技术</w:t>
            </w:r>
          </w:p>
        </w:tc>
        <w:tc>
          <w:tcPr>
            <w:tcW w:w="7033" w:type="dxa"/>
          </w:tcPr>
          <w:p>
            <w:pPr>
              <w:ind w:firstLine="420" w:firstLineChars="20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结合粮油加工行业职业岗位要求，培养学生基本技能的应用能力、自主学习能力、创新能力等综合职业素质为培养目标。将</w:t>
            </w:r>
            <w:r>
              <w:rPr>
                <w:rFonts w:hint="eastAsia" w:ascii="宋体" w:hAnsi="宋体" w:eastAsia="宋体" w:cs="宋体"/>
                <w:color w:val="000000"/>
                <w:kern w:val="0"/>
                <w:szCs w:val="21"/>
                <w:lang w:bidi="ar"/>
              </w:rPr>
              <w:t>教学与生产相结合，相互融洽、相互渗透</w:t>
            </w:r>
            <w:r>
              <w:rPr>
                <w:rFonts w:hint="eastAsia" w:ascii="宋体" w:hAnsi="宋体" w:eastAsia="宋体" w:cs="宋体"/>
                <w:color w:val="000000"/>
                <w:kern w:val="0"/>
                <w:szCs w:val="21"/>
                <w:lang w:val="en-US" w:eastAsia="zh-CN" w:bidi="ar"/>
              </w:rPr>
              <w:t>培养</w:t>
            </w:r>
            <w:r>
              <w:rPr>
                <w:rFonts w:hint="eastAsia" w:ascii="宋体" w:hAnsi="宋体" w:eastAsia="宋体" w:cs="宋体"/>
                <w:color w:val="000000"/>
                <w:kern w:val="0"/>
                <w:szCs w:val="21"/>
                <w:lang w:bidi="ar"/>
              </w:rPr>
              <w:t>“产学相融，双能导向” 的人才</w:t>
            </w:r>
            <w:r>
              <w:rPr>
                <w:rFonts w:hint="eastAsia" w:ascii="宋体" w:hAnsi="宋体" w:eastAsia="宋体" w:cs="宋体"/>
                <w:color w:val="000000"/>
                <w:kern w:val="0"/>
                <w:szCs w:val="21"/>
                <w:lang w:val="en-US" w:eastAsia="zh-CN" w:bidi="ar"/>
              </w:rPr>
              <w:t>。</w:t>
            </w:r>
            <w:r>
              <w:rPr>
                <w:rFonts w:hint="eastAsia" w:ascii="宋体" w:hAnsi="宋体" w:eastAsia="宋体" w:cs="宋体"/>
                <w:color w:val="000000"/>
                <w:kern w:val="0"/>
                <w:szCs w:val="21"/>
                <w:lang w:bidi="ar"/>
              </w:rPr>
              <w:t>本课程旨在引领学生认识</w:t>
            </w:r>
            <w:r>
              <w:rPr>
                <w:rFonts w:hint="eastAsia" w:ascii="宋体" w:hAnsi="宋体" w:eastAsia="宋体" w:cs="宋体"/>
                <w:color w:val="000000"/>
                <w:kern w:val="0"/>
                <w:szCs w:val="21"/>
                <w:lang w:val="en-US" w:eastAsia="zh-CN" w:bidi="ar"/>
              </w:rPr>
              <w:t>粮油产品</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粮油的检验技术和贮藏技术</w:t>
            </w:r>
            <w:r>
              <w:rPr>
                <w:rFonts w:hint="eastAsia" w:ascii="宋体" w:hAnsi="宋体" w:eastAsia="宋体" w:cs="宋体"/>
                <w:color w:val="000000"/>
                <w:kern w:val="0"/>
                <w:szCs w:val="21"/>
                <w:lang w:bidi="ar"/>
              </w:rPr>
              <w:t>，了解</w:t>
            </w:r>
            <w:r>
              <w:rPr>
                <w:rFonts w:hint="eastAsia" w:ascii="宋体" w:hAnsi="宋体" w:eastAsia="宋体" w:cs="宋体"/>
                <w:color w:val="000000"/>
                <w:kern w:val="0"/>
                <w:szCs w:val="21"/>
                <w:lang w:val="en-US" w:eastAsia="zh-CN" w:bidi="ar"/>
              </w:rPr>
              <w:t>粮油生产与检验技术</w:t>
            </w:r>
            <w:r>
              <w:rPr>
                <w:rFonts w:hint="eastAsia" w:ascii="宋体" w:hAnsi="宋体" w:eastAsia="宋体" w:cs="宋体"/>
                <w:color w:val="000000"/>
                <w:kern w:val="0"/>
                <w:szCs w:val="21"/>
                <w:lang w:bidi="ar"/>
              </w:rPr>
              <w:t>。通过对典型</w:t>
            </w:r>
            <w:r>
              <w:rPr>
                <w:rFonts w:hint="eastAsia" w:ascii="宋体" w:hAnsi="宋体" w:eastAsia="宋体" w:cs="宋体"/>
                <w:color w:val="000000"/>
                <w:kern w:val="0"/>
                <w:szCs w:val="21"/>
                <w:lang w:val="en-US" w:eastAsia="zh-CN" w:bidi="ar"/>
              </w:rPr>
              <w:t>粮油生产</w:t>
            </w:r>
            <w:r>
              <w:rPr>
                <w:rFonts w:hint="eastAsia" w:ascii="宋体" w:hAnsi="宋体" w:eastAsia="宋体" w:cs="宋体"/>
                <w:color w:val="000000"/>
                <w:kern w:val="0"/>
                <w:szCs w:val="21"/>
                <w:lang w:bidi="ar"/>
              </w:rPr>
              <w:t>的设计与分析，掌握</w:t>
            </w:r>
            <w:r>
              <w:rPr>
                <w:rFonts w:hint="eastAsia" w:ascii="宋体" w:hAnsi="宋体" w:eastAsia="宋体" w:cs="宋体"/>
                <w:color w:val="000000"/>
                <w:kern w:val="0"/>
                <w:szCs w:val="21"/>
                <w:lang w:val="en-US" w:eastAsia="zh-CN" w:bidi="ar"/>
              </w:rPr>
              <w:t>粮油品质、籽粒结构与生产工艺关系</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能够科学合理的制定粮油加工工艺流程和常规检验工作方案</w:t>
            </w:r>
            <w:r>
              <w:rPr>
                <w:rFonts w:hint="eastAsia" w:ascii="宋体" w:hAnsi="宋体" w:eastAsia="宋体" w:cs="宋体"/>
                <w:color w:val="000000"/>
                <w:kern w:val="0"/>
                <w:szCs w:val="21"/>
                <w:lang w:bidi="ar"/>
              </w:rPr>
              <w:t>。</w:t>
            </w:r>
          </w:p>
          <w:p>
            <w:pPr>
              <w:ind w:firstLine="420" w:firstLineChars="200"/>
              <w:rPr>
                <w:rFonts w:ascii="宋体" w:hAnsi="宋体" w:eastAsia="宋体" w:cs="宋体"/>
                <w:color w:val="000000"/>
                <w:kern w:val="0"/>
                <w:szCs w:val="21"/>
                <w:lang w:bidi="ar"/>
              </w:rPr>
            </w:pPr>
          </w:p>
        </w:tc>
      </w:tr>
    </w:tbl>
    <w:p>
      <w:pPr>
        <w:spacing w:line="360" w:lineRule="auto"/>
        <w:jc w:val="center"/>
        <w:rPr>
          <w:rFonts w:ascii="宋体" w:hAnsi="宋体" w:eastAsia="宋体" w:cs="宋体"/>
          <w:color w:val="000000"/>
          <w:kern w:val="0"/>
          <w:szCs w:val="21"/>
          <w:lang w:bidi="ar"/>
        </w:rPr>
      </w:pPr>
    </w:p>
    <w:p>
      <w:pPr>
        <w:spacing w:line="360" w:lineRule="auto"/>
        <w:ind w:firstLine="422" w:firstLineChars="200"/>
        <w:rPr>
          <w:rFonts w:hint="default" w:ascii="宋体" w:hAnsi="宋体" w:eastAsia="宋体" w:cs="宋体"/>
          <w:color w:val="000000"/>
          <w:kern w:val="0"/>
          <w:szCs w:val="21"/>
          <w:highlight w:val="none"/>
          <w:lang w:val="en-US" w:eastAsia="zh-CN" w:bidi="ar"/>
        </w:rPr>
      </w:pPr>
      <w:r>
        <w:rPr>
          <w:rFonts w:hint="eastAsia" w:ascii="宋体" w:hAnsi="宋体" w:eastAsia="宋体" w:cs="宋体"/>
          <w:b/>
          <w:bCs/>
          <w:color w:val="000000"/>
          <w:kern w:val="0"/>
          <w:szCs w:val="21"/>
          <w:lang w:bidi="ar"/>
        </w:rPr>
        <w:t>2.</w:t>
      </w:r>
      <w:r>
        <w:rPr>
          <w:rFonts w:hint="eastAsia" w:ascii="宋体" w:hAnsi="宋体" w:eastAsia="宋体" w:cs="宋体"/>
          <w:b/>
          <w:bCs/>
          <w:color w:val="000000"/>
          <w:kern w:val="0"/>
          <w:szCs w:val="21"/>
          <w:highlight w:val="none"/>
          <w:lang w:bidi="ar"/>
        </w:rPr>
        <w:t>其它专业课</w:t>
      </w:r>
    </w:p>
    <w:p>
      <w:pPr>
        <w:spacing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食品检验检测技术专业其它专业课程教学内容及要求如表四所示。</w:t>
      </w:r>
    </w:p>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表四 食品检验检测技术专业其它专业课程教学内容及要求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1" w:type="dxa"/>
            <w:vAlign w:val="center"/>
          </w:tcPr>
          <w:p>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序号</w:t>
            </w:r>
          </w:p>
        </w:tc>
        <w:tc>
          <w:tcPr>
            <w:tcW w:w="1280" w:type="dxa"/>
            <w:vAlign w:val="center"/>
          </w:tcPr>
          <w:p>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课程名称</w:t>
            </w:r>
          </w:p>
        </w:tc>
        <w:tc>
          <w:tcPr>
            <w:tcW w:w="6441" w:type="dxa"/>
            <w:vAlign w:val="center"/>
          </w:tcPr>
          <w:p>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adjustRightInd w:val="0"/>
              <w:snapToGrid w:val="0"/>
              <w:ind w:firstLine="420" w:firstLineChars="200"/>
              <w:rPr>
                <w:rFonts w:ascii="宋体" w:hAnsi="宋体" w:eastAsia="宋体" w:cs="宋体"/>
              </w:rPr>
            </w:pPr>
            <w:r>
              <w:rPr>
                <w:rFonts w:hint="eastAsia" w:ascii="宋体" w:hAnsi="宋体" w:eastAsia="宋体" w:cs="宋体"/>
              </w:rPr>
              <w:t>1</w:t>
            </w:r>
          </w:p>
        </w:tc>
        <w:tc>
          <w:tcPr>
            <w:tcW w:w="1280" w:type="dxa"/>
            <w:vAlign w:val="center"/>
          </w:tcPr>
          <w:p>
            <w:pPr>
              <w:adjustRightInd w:val="0"/>
              <w:snapToGrid w:val="0"/>
              <w:jc w:val="center"/>
              <w:rPr>
                <w:rFonts w:ascii="宋体" w:hAnsi="宋体" w:eastAsia="宋体" w:cs="宋体"/>
              </w:rPr>
            </w:pPr>
            <w:r>
              <w:rPr>
                <w:rFonts w:hint="eastAsia" w:ascii="宋体" w:hAnsi="宋体" w:eastAsia="宋体" w:cs="宋体"/>
              </w:rPr>
              <w:t>农药残留检验</w:t>
            </w:r>
          </w:p>
        </w:tc>
        <w:tc>
          <w:tcPr>
            <w:tcW w:w="6441" w:type="dxa"/>
          </w:tcPr>
          <w:p>
            <w:pPr>
              <w:adjustRightInd w:val="0"/>
              <w:snapToGrid w:val="0"/>
              <w:ind w:firstLine="420" w:firstLineChars="200"/>
              <w:rPr>
                <w:rFonts w:ascii="宋体" w:hAnsi="宋体" w:eastAsia="宋体" w:cs="宋体"/>
              </w:rPr>
            </w:pPr>
            <w:r>
              <w:rPr>
                <w:rFonts w:hint="eastAsia" w:ascii="宋体" w:hAnsi="宋体" w:eastAsia="宋体" w:cs="宋体"/>
              </w:rPr>
              <w:t>学习本门课程的主要目的是使学生掌握各类农药从采样、样品处理到最终分析整个环节的实验技术，以及相关农药残留分析管理法规。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1280" w:type="dxa"/>
            <w:vAlign w:val="center"/>
          </w:tcPr>
          <w:p>
            <w:pPr>
              <w:rPr>
                <w:rFonts w:ascii="宋体" w:hAnsi="宋体" w:eastAsia="宋体" w:cs="宋体"/>
                <w:color w:val="000000"/>
                <w:kern w:val="0"/>
                <w:szCs w:val="21"/>
                <w:lang w:bidi="ar"/>
              </w:rPr>
            </w:pPr>
            <w:r>
              <w:rPr>
                <w:rFonts w:ascii="宋体" w:hAnsi="宋体" w:eastAsia="宋体" w:cs="宋体"/>
                <w:color w:val="000000"/>
                <w:kern w:val="0"/>
                <w:szCs w:val="21"/>
                <w:lang w:bidi="ar"/>
              </w:rPr>
              <w:t>食品安全快速检测技术</w:t>
            </w:r>
          </w:p>
        </w:tc>
        <w:tc>
          <w:tcPr>
            <w:tcW w:w="6441" w:type="dxa"/>
          </w:tcPr>
          <w:p>
            <w:pP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食品安全快速</w:t>
            </w:r>
            <w:r>
              <w:rPr>
                <w:rFonts w:ascii="宋体" w:hAnsi="宋体" w:eastAsia="宋体" w:cs="宋体"/>
                <w:color w:val="000000"/>
                <w:kern w:val="0"/>
                <w:szCs w:val="21"/>
                <w:lang w:bidi="ar"/>
              </w:rPr>
              <w:t>快速检测的对象主要针对影响农产品安全性的化学危害因子（农药、兽药、重金属等）和生物危害因子（微生物、寄生虫、生物毒素等）</w:t>
            </w:r>
            <w:r>
              <w:rPr>
                <w:rFonts w:hint="eastAsia" w:ascii="宋体" w:hAnsi="宋体" w:eastAsia="宋体" w:cs="宋体"/>
                <w:color w:val="000000"/>
                <w:kern w:val="0"/>
                <w:szCs w:val="21"/>
                <w:lang w:eastAsia="zh-CN" w:bidi="ar"/>
              </w:rPr>
              <w:t>，</w:t>
            </w:r>
            <w:r>
              <w:rPr>
                <w:rFonts w:ascii="宋体" w:hAnsi="宋体" w:eastAsia="宋体" w:cs="宋体"/>
                <w:color w:val="000000"/>
                <w:kern w:val="0"/>
                <w:szCs w:val="21"/>
                <w:lang w:bidi="ar"/>
              </w:rPr>
              <w:t>快检技术作为日常检查的主要手段，其最大的特点是快速高效，对可疑食品进行粗筛和对现场食品安全状况作出初步评价，便于</w:t>
            </w:r>
            <w:r>
              <w:rPr>
                <w:rFonts w:hint="eastAsia" w:ascii="宋体" w:hAnsi="宋体" w:eastAsia="宋体" w:cs="宋体"/>
                <w:color w:val="000000"/>
                <w:kern w:val="0"/>
                <w:szCs w:val="21"/>
                <w:lang w:val="en-US" w:eastAsia="zh-CN" w:bidi="ar"/>
              </w:rPr>
              <w:t>工作</w:t>
            </w:r>
            <w:r>
              <w:rPr>
                <w:rFonts w:ascii="宋体" w:hAnsi="宋体" w:eastAsia="宋体" w:cs="宋体"/>
                <w:color w:val="000000"/>
                <w:kern w:val="0"/>
                <w:szCs w:val="21"/>
                <w:lang w:bidi="ar"/>
              </w:rPr>
              <w:t>人员掌握情况，提高工作靶向性，预防食品安全事故发生，现场快速检测方法与国家标准方法和仪器法相比具有操作简单、快速的优点</w:t>
            </w:r>
            <w:r>
              <w:rPr>
                <w:rFonts w:hint="eastAsia" w:ascii="宋体" w:hAnsi="宋体" w:eastAsia="宋体" w:cs="宋体"/>
                <w:color w:val="000000"/>
                <w:kern w:val="0"/>
                <w:szCs w:val="21"/>
                <w:lang w:eastAsia="zh-CN" w:bidi="ar"/>
              </w:rPr>
              <w:t>，</w:t>
            </w:r>
            <w:r>
              <w:rPr>
                <w:rFonts w:hint="eastAsia" w:ascii="宋体" w:hAnsi="宋体" w:eastAsia="宋体" w:cs="宋体"/>
              </w:rPr>
              <w:t>学习本门课程的主要目的是使学生掌握</w:t>
            </w:r>
            <w:r>
              <w:rPr>
                <w:rFonts w:hint="eastAsia" w:ascii="宋体" w:hAnsi="宋体" w:eastAsia="宋体" w:cs="宋体"/>
                <w:lang w:val="en-US" w:eastAsia="zh-CN"/>
              </w:rPr>
              <w:t>快速检测的运用，把专业知识带到工作岗位去。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1280" w:type="dxa"/>
            <w:vAlign w:val="center"/>
          </w:tcPr>
          <w:p>
            <w:pPr>
              <w:adjustRightInd w:val="0"/>
              <w:snapToGrid w:val="0"/>
              <w:jc w:val="center"/>
              <w:rPr>
                <w:rFonts w:ascii="宋体" w:hAnsi="宋体" w:eastAsia="宋体" w:cs="宋体"/>
                <w:color w:val="000000"/>
                <w:kern w:val="0"/>
                <w:szCs w:val="21"/>
                <w:lang w:bidi="ar"/>
              </w:rPr>
            </w:pPr>
            <w:r>
              <w:rPr>
                <w:rFonts w:hint="eastAsia" w:ascii="宋体" w:hAnsi="宋体" w:eastAsia="宋体" w:cs="宋体"/>
              </w:rPr>
              <w:t>食品感官鉴定与理化检验</w:t>
            </w:r>
          </w:p>
        </w:tc>
        <w:tc>
          <w:tcPr>
            <w:tcW w:w="6441" w:type="dxa"/>
          </w:tcPr>
          <w:p>
            <w:pPr>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hint="eastAsia" w:ascii="宋体" w:hAnsi="宋体" w:eastAsia="宋体" w:cs="宋体"/>
              </w:rPr>
              <w:t>食品感官鉴定与理化检验</w:t>
            </w:r>
            <w:r>
              <w:rPr>
                <w:rFonts w:hint="eastAsia" w:ascii="宋体" w:hAnsi="宋体" w:eastAsia="宋体" w:cs="宋体"/>
                <w:color w:val="000000"/>
                <w:kern w:val="0"/>
                <w:szCs w:val="21"/>
                <w:lang w:bidi="ar"/>
              </w:rPr>
              <w:t>》是食品检验检测技术专业选修专业课程，是处于专业基础课、食品加工类课程之后的一门综合性专业技术课，通过本课程的学习掌握感官评定的定义、基本原理及检验评定方法与应用，为食品检验方法提供理论基础，使学生能够应用感官评定知识解决现代食品企业与该行业发展前沿问题，为生产控制、市场调研、产品开发打下理论基础。</w:t>
            </w:r>
          </w:p>
        </w:tc>
      </w:tr>
    </w:tbl>
    <w:p>
      <w:pPr>
        <w:spacing w:line="360" w:lineRule="auto"/>
        <w:jc w:val="center"/>
        <w:rPr>
          <w:rFonts w:ascii="宋体" w:hAnsi="宋体" w:eastAsia="宋体" w:cs="微软雅黑"/>
          <w:szCs w:val="21"/>
        </w:rPr>
      </w:pPr>
    </w:p>
    <w:p>
      <w:pPr>
        <w:spacing w:line="360" w:lineRule="auto"/>
        <w:ind w:firstLine="422" w:firstLineChars="200"/>
        <w:rPr>
          <w:rFonts w:ascii="宋体" w:hAnsi="宋体" w:eastAsia="宋体" w:cs="微软雅黑"/>
          <w:b/>
          <w:bCs/>
          <w:szCs w:val="21"/>
        </w:rPr>
      </w:pPr>
      <w:r>
        <w:rPr>
          <w:rFonts w:hint="eastAsia" w:ascii="宋体" w:hAnsi="宋体" w:eastAsia="宋体" w:cs="微软雅黑"/>
          <w:b/>
          <w:bCs/>
          <w:szCs w:val="21"/>
        </w:rPr>
        <w:t>3.实训实习课程</w:t>
      </w:r>
    </w:p>
    <w:p>
      <w:pPr>
        <w:spacing w:line="360" w:lineRule="auto"/>
        <w:ind w:firstLine="420" w:firstLineChars="200"/>
        <w:rPr>
          <w:rFonts w:hint="eastAsia" w:ascii="宋体" w:hAnsi="宋体" w:eastAsia="宋体" w:cs="微软雅黑"/>
          <w:szCs w:val="21"/>
        </w:rPr>
      </w:pPr>
      <w:r>
        <w:rPr>
          <w:rFonts w:hint="eastAsia" w:ascii="宋体" w:hAnsi="宋体" w:eastAsia="宋体" w:cs="微软雅黑"/>
          <w:szCs w:val="21"/>
        </w:rPr>
        <w:t>食品检验检测技术专业实训实习课程教学内容及要求如表五所示。</w:t>
      </w:r>
    </w:p>
    <w:p>
      <w:pPr>
        <w:spacing w:line="360" w:lineRule="auto"/>
        <w:jc w:val="center"/>
        <w:rPr>
          <w:rFonts w:ascii="宋体" w:hAnsi="宋体" w:eastAsia="宋体" w:cs="微软雅黑"/>
          <w:szCs w:val="21"/>
        </w:rPr>
      </w:pPr>
      <w:r>
        <w:rPr>
          <w:rFonts w:hint="eastAsia" w:ascii="宋体" w:hAnsi="宋体" w:eastAsia="宋体" w:cs="微软雅黑"/>
          <w:szCs w:val="21"/>
        </w:rPr>
        <w:t>表五</w:t>
      </w:r>
      <w:r>
        <w:rPr>
          <w:rFonts w:ascii="宋体" w:hAnsi="宋体" w:eastAsia="宋体" w:cs="微软雅黑"/>
          <w:szCs w:val="21"/>
        </w:rPr>
        <w:t xml:space="preserve"> </w:t>
      </w:r>
      <w:r>
        <w:rPr>
          <w:rFonts w:hint="eastAsia" w:ascii="宋体" w:hAnsi="宋体" w:eastAsia="宋体" w:cs="微软雅黑"/>
          <w:szCs w:val="21"/>
        </w:rPr>
        <w:t>食品检验检测技术专业实训实习课程教学内容及要求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403"/>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dxa"/>
          </w:tcPr>
          <w:p>
            <w:pPr>
              <w:jc w:val="center"/>
              <w:rPr>
                <w:rFonts w:ascii="宋体" w:hAnsi="宋体" w:eastAsia="宋体" w:cs="宋体"/>
                <w:szCs w:val="21"/>
              </w:rPr>
            </w:pPr>
            <w:r>
              <w:rPr>
                <w:rFonts w:hint="eastAsia" w:ascii="宋体" w:hAnsi="宋体" w:eastAsia="宋体" w:cs="宋体"/>
                <w:szCs w:val="21"/>
              </w:rPr>
              <w:t>序号</w:t>
            </w:r>
          </w:p>
        </w:tc>
        <w:tc>
          <w:tcPr>
            <w:tcW w:w="1403" w:type="dxa"/>
          </w:tcPr>
          <w:p>
            <w:pPr>
              <w:jc w:val="center"/>
              <w:rPr>
                <w:rFonts w:ascii="宋体" w:hAnsi="宋体" w:eastAsia="宋体" w:cs="宋体"/>
                <w:szCs w:val="21"/>
              </w:rPr>
            </w:pPr>
            <w:r>
              <w:rPr>
                <w:rFonts w:hint="eastAsia" w:ascii="宋体" w:hAnsi="宋体" w:eastAsia="宋体" w:cs="宋体"/>
                <w:szCs w:val="21"/>
              </w:rPr>
              <w:t>课程名称</w:t>
            </w:r>
          </w:p>
        </w:tc>
        <w:tc>
          <w:tcPr>
            <w:tcW w:w="6568" w:type="dxa"/>
          </w:tcPr>
          <w:p>
            <w:pPr>
              <w:jc w:val="center"/>
              <w:rPr>
                <w:rFonts w:ascii="宋体" w:hAnsi="宋体" w:eastAsia="宋体" w:cs="宋体"/>
                <w:szCs w:val="21"/>
              </w:rPr>
            </w:pPr>
            <w:r>
              <w:rPr>
                <w:rFonts w:hint="eastAsia" w:ascii="宋体" w:hAnsi="宋体" w:eastAsia="宋体" w:cs="宋体"/>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adjustRightInd w:val="0"/>
              <w:snapToGrid w:val="0"/>
              <w:jc w:val="center"/>
              <w:rPr>
                <w:rFonts w:ascii="宋体" w:hAnsi="宋体" w:eastAsia="宋体" w:cs="宋体"/>
              </w:rPr>
            </w:pPr>
            <w:r>
              <w:rPr>
                <w:rFonts w:ascii="宋体" w:hAnsi="宋体" w:eastAsia="宋体" w:cs="宋体"/>
              </w:rPr>
              <w:t>1</w:t>
            </w:r>
          </w:p>
        </w:tc>
        <w:tc>
          <w:tcPr>
            <w:tcW w:w="1403" w:type="dxa"/>
            <w:vAlign w:val="center"/>
          </w:tcPr>
          <w:p>
            <w:pPr>
              <w:adjustRightInd w:val="0"/>
              <w:snapToGrid w:val="0"/>
              <w:jc w:val="center"/>
              <w:rPr>
                <w:rFonts w:ascii="宋体" w:hAnsi="宋体" w:eastAsia="宋体" w:cs="宋体"/>
              </w:rPr>
            </w:pPr>
            <w:r>
              <w:rPr>
                <w:rFonts w:hint="eastAsia" w:ascii="宋体" w:hAnsi="宋体" w:eastAsia="宋体" w:cs="宋体"/>
              </w:rPr>
              <w:t>1+X证书考证实训</w:t>
            </w:r>
          </w:p>
        </w:tc>
        <w:tc>
          <w:tcPr>
            <w:tcW w:w="6568" w:type="dxa"/>
            <w:vAlign w:val="center"/>
          </w:tcPr>
          <w:p>
            <w:pPr>
              <w:adjustRightInd w:val="0"/>
              <w:snapToGrid w:val="0"/>
              <w:ind w:firstLine="420" w:firstLineChars="200"/>
              <w:rPr>
                <w:rFonts w:ascii="宋体" w:hAnsi="宋体" w:eastAsia="宋体" w:cs="宋体"/>
              </w:rPr>
            </w:pPr>
            <w:r>
              <w:rPr>
                <w:rFonts w:hint="eastAsia" w:ascii="宋体" w:hAnsi="宋体" w:eastAsia="宋体" w:cs="宋体"/>
              </w:rPr>
              <w:t>包括微生物实训、基础化学实训，仪器分析实训。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2" w:type="dxa"/>
            <w:vAlign w:val="center"/>
          </w:tcPr>
          <w:p>
            <w:pPr>
              <w:adjustRightInd w:val="0"/>
              <w:snapToGrid w:val="0"/>
              <w:jc w:val="center"/>
              <w:rPr>
                <w:rFonts w:ascii="宋体" w:hAnsi="宋体" w:eastAsia="宋体" w:cs="宋体"/>
                <w:szCs w:val="24"/>
              </w:rPr>
            </w:pPr>
            <w:r>
              <w:rPr>
                <w:rFonts w:ascii="宋体" w:hAnsi="宋体" w:eastAsia="宋体" w:cs="宋体"/>
                <w:szCs w:val="24"/>
              </w:rPr>
              <w:t>2</w:t>
            </w:r>
          </w:p>
        </w:tc>
        <w:tc>
          <w:tcPr>
            <w:tcW w:w="1403" w:type="dxa"/>
            <w:vAlign w:val="center"/>
          </w:tcPr>
          <w:p>
            <w:pPr>
              <w:adjustRightInd w:val="0"/>
              <w:snapToGrid w:val="0"/>
              <w:jc w:val="center"/>
              <w:rPr>
                <w:rFonts w:ascii="宋体" w:hAnsi="宋体" w:eastAsia="宋体" w:cs="宋体"/>
              </w:rPr>
            </w:pPr>
            <w:r>
              <w:rPr>
                <w:rFonts w:hint="eastAsia" w:ascii="宋体" w:hAnsi="宋体" w:eastAsia="宋体" w:cs="宋体"/>
              </w:rPr>
              <w:t>综合实训</w:t>
            </w:r>
          </w:p>
        </w:tc>
        <w:tc>
          <w:tcPr>
            <w:tcW w:w="6568" w:type="dxa"/>
          </w:tcPr>
          <w:p>
            <w:pPr>
              <w:adjustRightInd w:val="0"/>
              <w:snapToGrid w:val="0"/>
              <w:ind w:firstLine="420" w:firstLineChars="20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通过专业认知实训，使学生初步了解食品专业的研究领域，提高学生学习专业知识的兴趣；</w:t>
            </w:r>
          </w:p>
          <w:p>
            <w:pPr>
              <w:adjustRightInd w:val="0"/>
              <w:snapToGrid w:val="0"/>
              <w:ind w:firstLine="420" w:firstLineChars="20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掌握理化分析的基本技能，包括实验室药品称量技术、标准溶液配制技术、滴定操作技术(酸碱滴定、氧化还原滴定)等；</w:t>
            </w:r>
          </w:p>
          <w:p>
            <w:pPr>
              <w:adjustRightInd w:val="0"/>
              <w:snapToGrid w:val="0"/>
              <w:ind w:firstLine="420" w:firstLineChars="20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掌握食品化学分析的基本技能，包括实验室操作的基本技能、酸度计的使用、分光光度计的使用等；</w:t>
            </w:r>
          </w:p>
          <w:p>
            <w:pPr>
              <w:adjustRightInd w:val="0"/>
              <w:snapToGrid w:val="0"/>
              <w:ind w:firstLine="420" w:firstLineChars="20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掌握微生物检验的实验室基本技能，包括培养基配制技术、显微镜使用技术、玻璃器皿灭菌技术、微生物接种技术等；</w:t>
            </w:r>
          </w:p>
          <w:p>
            <w:pPr>
              <w:adjustRightInd w:val="0"/>
              <w:snapToGrid w:val="0"/>
              <w:ind w:firstLine="420" w:firstLineChars="20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掌握食品微生物检验的常规技能，包括常见微生物菌种的识别，食品中细菌总数、大肠菌群的检测；</w:t>
            </w:r>
          </w:p>
          <w:p>
            <w:pPr>
              <w:adjustRightInd w:val="0"/>
              <w:snapToGrid w:val="0"/>
              <w:ind w:firstLine="420" w:firstLineChars="20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通过食品检验工职业技能训练，掌握中级食品检验工职业技能鉴定中的共性基本技能；</w:t>
            </w:r>
          </w:p>
          <w:p>
            <w:pPr>
              <w:adjustRightInd w:val="0"/>
              <w:snapToGrid w:val="0"/>
              <w:ind w:firstLine="420" w:firstLineChars="20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通过食品加工的综合实习，掌握食品保鲜和加工的基本原理及工艺技术；</w:t>
            </w:r>
          </w:p>
          <w:p>
            <w:pPr>
              <w:adjustRightInd w:val="0"/>
              <w:snapToGrid w:val="0"/>
              <w:ind w:firstLine="420" w:firstLineChars="20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通过参观、现场教学，使学生进一步理解食品生产的工艺流程，食品企业的生产管理。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742" w:type="dxa"/>
            <w:vAlign w:val="center"/>
          </w:tcPr>
          <w:p>
            <w:pPr>
              <w:adjustRightInd w:val="0"/>
              <w:snapToGrid w:val="0"/>
              <w:jc w:val="center"/>
              <w:rPr>
                <w:rFonts w:ascii="宋体" w:hAnsi="宋体" w:eastAsia="宋体" w:cs="宋体"/>
                <w:szCs w:val="24"/>
              </w:rPr>
            </w:pPr>
            <w:r>
              <w:rPr>
                <w:rFonts w:ascii="宋体" w:hAnsi="宋体" w:eastAsia="宋体" w:cs="宋体"/>
                <w:szCs w:val="24"/>
              </w:rPr>
              <w:t>3</w:t>
            </w:r>
          </w:p>
        </w:tc>
        <w:tc>
          <w:tcPr>
            <w:tcW w:w="1403" w:type="dxa"/>
            <w:vAlign w:val="center"/>
          </w:tcPr>
          <w:p>
            <w:pPr>
              <w:adjustRightInd w:val="0"/>
              <w:snapToGrid w:val="0"/>
              <w:jc w:val="center"/>
              <w:rPr>
                <w:rFonts w:ascii="宋体" w:hAnsi="宋体" w:eastAsia="宋体" w:cs="宋体"/>
                <w:szCs w:val="24"/>
              </w:rPr>
            </w:pPr>
            <w:r>
              <w:rPr>
                <w:rFonts w:hint="eastAsia" w:ascii="宋体" w:hAnsi="宋体" w:eastAsia="宋体" w:cs="宋体"/>
              </w:rPr>
              <w:t>毕业设计（论文）</w:t>
            </w:r>
          </w:p>
        </w:tc>
        <w:tc>
          <w:tcPr>
            <w:tcW w:w="6568" w:type="dxa"/>
            <w:vAlign w:val="center"/>
          </w:tcPr>
          <w:p>
            <w:pPr>
              <w:adjustRightInd w:val="0"/>
              <w:snapToGrid w:val="0"/>
              <w:ind w:firstLine="420" w:firstLineChars="200"/>
              <w:rPr>
                <w:rFonts w:ascii="宋体" w:hAnsi="宋体" w:eastAsia="宋体" w:cs="宋体"/>
                <w:szCs w:val="24"/>
              </w:rPr>
            </w:pPr>
            <w:r>
              <w:rPr>
                <w:rFonts w:hint="eastAsia" w:ascii="宋体" w:hAnsi="宋体" w:eastAsia="宋体" w:cs="宋体"/>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42" w:type="dxa"/>
            <w:vAlign w:val="center"/>
          </w:tcPr>
          <w:p>
            <w:pPr>
              <w:adjustRightInd w:val="0"/>
              <w:snapToGrid w:val="0"/>
              <w:jc w:val="center"/>
              <w:rPr>
                <w:rFonts w:ascii="宋体" w:hAnsi="宋体" w:eastAsia="宋体" w:cs="宋体"/>
                <w:szCs w:val="24"/>
              </w:rPr>
            </w:pPr>
            <w:r>
              <w:rPr>
                <w:rFonts w:ascii="宋体" w:hAnsi="宋体" w:eastAsia="宋体" w:cs="宋体"/>
                <w:szCs w:val="24"/>
              </w:rPr>
              <w:t>4</w:t>
            </w:r>
          </w:p>
        </w:tc>
        <w:tc>
          <w:tcPr>
            <w:tcW w:w="1403" w:type="dxa"/>
            <w:vAlign w:val="center"/>
          </w:tcPr>
          <w:p>
            <w:pPr>
              <w:adjustRightInd w:val="0"/>
              <w:snapToGrid w:val="0"/>
              <w:jc w:val="center"/>
              <w:rPr>
                <w:rFonts w:ascii="宋体" w:hAnsi="宋体" w:eastAsia="宋体" w:cs="宋体"/>
                <w:szCs w:val="24"/>
              </w:rPr>
            </w:pPr>
            <w:r>
              <w:rPr>
                <w:rFonts w:hint="eastAsia" w:ascii="宋体" w:hAnsi="宋体" w:eastAsia="宋体" w:cs="宋体"/>
              </w:rPr>
              <w:t>顶岗实习</w:t>
            </w:r>
          </w:p>
        </w:tc>
        <w:tc>
          <w:tcPr>
            <w:tcW w:w="6568" w:type="dxa"/>
            <w:vAlign w:val="center"/>
          </w:tcPr>
          <w:p>
            <w:pPr>
              <w:adjustRightInd w:val="0"/>
              <w:snapToGrid w:val="0"/>
              <w:ind w:firstLine="420" w:firstLineChars="200"/>
              <w:rPr>
                <w:rFonts w:ascii="宋体" w:hAnsi="宋体" w:eastAsia="宋体" w:cs="宋体"/>
                <w:szCs w:val="24"/>
              </w:rPr>
            </w:pPr>
            <w:r>
              <w:rPr>
                <w:rFonts w:hint="eastAsia" w:ascii="宋体" w:hAnsi="宋体" w:eastAsia="宋体" w:cs="宋体"/>
                <w:color w:val="000000" w:themeColor="text1"/>
                <w14:textFill>
                  <w14:solidFill>
                    <w14:schemeClr w14:val="tx1"/>
                  </w14:solidFill>
                </w14:textFill>
              </w:rPr>
              <w:t>学生通过从事</w:t>
            </w:r>
            <w:r>
              <w:rPr>
                <w:rFonts w:hint="eastAsia" w:ascii="宋体" w:hAnsi="宋体" w:eastAsia="宋体" w:cs="宋体"/>
                <w:bCs/>
                <w:color w:val="000000" w:themeColor="text1"/>
                <w14:textFill>
                  <w14:solidFill>
                    <w14:schemeClr w14:val="tx1"/>
                  </w14:solidFill>
                </w14:textFill>
              </w:rPr>
              <w:t>食品加工、检测等</w:t>
            </w:r>
            <w:r>
              <w:rPr>
                <w:rFonts w:hint="eastAsia" w:ascii="宋体" w:hAnsi="宋体" w:eastAsia="宋体" w:cs="宋体"/>
                <w:color w:val="000000" w:themeColor="text1"/>
                <w14:textFill>
                  <w14:solidFill>
                    <w14:schemeClr w14:val="tx1"/>
                  </w14:solidFill>
                </w14:textFill>
              </w:rPr>
              <w:t>顶岗工作，掌握有关</w:t>
            </w:r>
            <w:r>
              <w:rPr>
                <w:rFonts w:hint="eastAsia" w:ascii="宋体" w:hAnsi="宋体" w:eastAsia="宋体" w:cs="宋体"/>
                <w:bCs/>
                <w:color w:val="000000" w:themeColor="text1"/>
                <w14:textFill>
                  <w14:solidFill>
                    <w14:schemeClr w14:val="tx1"/>
                  </w14:solidFill>
                </w14:textFill>
              </w:rPr>
              <w:t>岗位要求</w:t>
            </w:r>
            <w:r>
              <w:rPr>
                <w:rFonts w:hint="eastAsia" w:ascii="宋体" w:hAnsi="宋体" w:eastAsia="宋体" w:cs="宋体"/>
                <w:color w:val="000000" w:themeColor="text1"/>
                <w14:textFill>
                  <w14:solidFill>
                    <w14:schemeClr w14:val="tx1"/>
                  </w14:solidFill>
                </w14:textFill>
              </w:rPr>
              <w:t>的具体工作任务，在实践教师的指导下，完成预定的学习任务，同时培养学生综合素质、动手能力，缩短学生走上工作岗位的适应期，提高就业竞争能力，是产学合作教育的重要教学环节。通过学生在企业的顶岗实习，将所学的专业知识进行实践性融合，使学生对</w:t>
            </w:r>
            <w:r>
              <w:rPr>
                <w:rFonts w:hint="eastAsia" w:ascii="宋体" w:hAnsi="宋体" w:eastAsia="宋体" w:cs="宋体"/>
                <w:bCs/>
                <w:color w:val="000000" w:themeColor="text1"/>
                <w14:textFill>
                  <w14:solidFill>
                    <w14:schemeClr w14:val="tx1"/>
                  </w14:solidFill>
                </w14:textFill>
              </w:rPr>
              <w:t>专业知识和技能</w:t>
            </w:r>
            <w:r>
              <w:rPr>
                <w:rFonts w:hint="eastAsia" w:ascii="宋体" w:hAnsi="宋体" w:eastAsia="宋体" w:cs="宋体"/>
                <w:color w:val="000000" w:themeColor="text1"/>
                <w14:textFill>
                  <w14:solidFill>
                    <w14:schemeClr w14:val="tx1"/>
                  </w14:solidFill>
                </w14:textFill>
              </w:rPr>
              <w:t>更加熟练，为学生今后的就业做好铺垫。</w:t>
            </w:r>
          </w:p>
        </w:tc>
      </w:tr>
    </w:tbl>
    <w:p>
      <w:pPr>
        <w:spacing w:line="360" w:lineRule="auto"/>
        <w:jc w:val="center"/>
        <w:rPr>
          <w:rFonts w:ascii="宋体" w:hAnsi="宋体" w:eastAsia="宋体" w:cs="微软雅黑"/>
          <w:szCs w:val="21"/>
        </w:rPr>
      </w:pP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七、教学进程总体安排</w:t>
      </w:r>
    </w:p>
    <w:p>
      <w:pPr>
        <w:spacing w:line="360" w:lineRule="auto"/>
        <w:ind w:firstLine="480" w:firstLineChars="200"/>
        <w:outlineLvl w:val="1"/>
        <w:rPr>
          <w:rFonts w:ascii="Times New Roman" w:hAnsi="Times New Roman" w:eastAsia="黑体" w:cs="Times New Roman"/>
          <w:sz w:val="28"/>
          <w:szCs w:val="28"/>
        </w:rPr>
      </w:pPr>
      <w:r>
        <w:rPr>
          <w:rFonts w:ascii="黑体" w:hAnsi="黑体" w:eastAsia="黑体" w:cs="Times New Roman"/>
          <w:sz w:val="24"/>
          <w:szCs w:val="24"/>
        </w:rPr>
        <w:t>（</w:t>
      </w:r>
      <w:r>
        <w:rPr>
          <w:rFonts w:hint="eastAsia" w:ascii="黑体" w:hAnsi="黑体" w:eastAsia="黑体" w:cs="Times New Roman"/>
          <w:sz w:val="24"/>
          <w:szCs w:val="24"/>
        </w:rPr>
        <w:t>一</w:t>
      </w:r>
      <w:r>
        <w:rPr>
          <w:rFonts w:ascii="黑体" w:hAnsi="黑体" w:eastAsia="黑体" w:cs="Times New Roman"/>
          <w:sz w:val="24"/>
          <w:szCs w:val="24"/>
        </w:rPr>
        <w:t>）</w:t>
      </w:r>
      <w:r>
        <w:rPr>
          <w:rFonts w:hint="eastAsia" w:ascii="黑体" w:hAnsi="黑体" w:eastAsia="黑体" w:cs="Times New Roman"/>
          <w:sz w:val="24"/>
          <w:szCs w:val="24"/>
        </w:rPr>
        <w:t>教学进程安排表</w:t>
      </w:r>
    </w:p>
    <w:p>
      <w:pPr>
        <w:spacing w:line="360" w:lineRule="auto"/>
        <w:ind w:firstLine="420" w:firstLineChars="200"/>
        <w:rPr>
          <w:rFonts w:hint="eastAsia" w:ascii="宋体" w:hAnsi="宋体" w:eastAsia="宋体" w:cs="微软雅黑"/>
          <w:szCs w:val="21"/>
        </w:rPr>
      </w:pPr>
      <w:r>
        <w:rPr>
          <w:rFonts w:hint="eastAsia" w:ascii="宋体" w:hAnsi="宋体" w:eastAsia="宋体" w:cs="微软雅黑"/>
          <w:szCs w:val="21"/>
        </w:rPr>
        <w:t>教学进程安排表如表六所示。</w:t>
      </w:r>
    </w:p>
    <w:p>
      <w:pPr>
        <w:spacing w:line="360" w:lineRule="auto"/>
        <w:ind w:firstLine="420" w:firstLineChars="200"/>
        <w:rPr>
          <w:rFonts w:hint="eastAsia" w:ascii="宋体" w:hAnsi="宋体" w:eastAsia="宋体" w:cs="微软雅黑"/>
          <w:szCs w:val="21"/>
        </w:rPr>
      </w:pPr>
    </w:p>
    <w:p>
      <w:pPr>
        <w:spacing w:line="360" w:lineRule="auto"/>
        <w:ind w:firstLine="420" w:firstLineChars="200"/>
        <w:rPr>
          <w:rFonts w:hint="eastAsia" w:ascii="宋体" w:hAnsi="宋体" w:eastAsia="宋体" w:cs="微软雅黑"/>
          <w:szCs w:val="21"/>
        </w:rPr>
      </w:pPr>
    </w:p>
    <w:p>
      <w:pPr>
        <w:spacing w:line="360" w:lineRule="auto"/>
        <w:ind w:firstLine="420" w:firstLineChars="200"/>
        <w:rPr>
          <w:rFonts w:hint="eastAsia" w:ascii="宋体" w:hAnsi="宋体" w:eastAsia="宋体" w:cs="微软雅黑"/>
          <w:szCs w:val="21"/>
        </w:rPr>
      </w:pPr>
    </w:p>
    <w:p>
      <w:pPr>
        <w:spacing w:line="360" w:lineRule="auto"/>
        <w:ind w:firstLine="420" w:firstLineChars="200"/>
        <w:jc w:val="center"/>
        <w:rPr>
          <w:rFonts w:ascii="宋体" w:hAnsi="宋体" w:eastAsia="宋体" w:cs="Times New Roman"/>
          <w:kern w:val="0"/>
          <w:szCs w:val="21"/>
        </w:rPr>
      </w:pPr>
      <w:r>
        <w:rPr>
          <w:rFonts w:ascii="宋体" w:hAnsi="宋体" w:eastAsia="宋体" w:cs="Times New Roman"/>
          <w:kern w:val="0"/>
          <w:szCs w:val="21"/>
        </w:rPr>
        <w:t>表</w:t>
      </w:r>
      <w:r>
        <w:rPr>
          <w:rFonts w:hint="eastAsia" w:ascii="宋体" w:hAnsi="宋体" w:eastAsia="宋体" w:cs="Times New Roman"/>
          <w:kern w:val="0"/>
          <w:szCs w:val="21"/>
        </w:rPr>
        <w:t>六</w:t>
      </w:r>
      <w:r>
        <w:rPr>
          <w:rFonts w:ascii="宋体" w:hAnsi="宋体" w:eastAsia="宋体" w:cs="Times New Roman"/>
          <w:kern w:val="0"/>
          <w:szCs w:val="21"/>
        </w:rPr>
        <w:t xml:space="preserve"> 教学</w:t>
      </w:r>
      <w:r>
        <w:rPr>
          <w:rFonts w:hint="eastAsia" w:ascii="宋体" w:hAnsi="宋体" w:eastAsia="宋体" w:cs="Times New Roman"/>
          <w:kern w:val="0"/>
          <w:szCs w:val="21"/>
        </w:rPr>
        <w:t>进程安排</w:t>
      </w:r>
      <w:r>
        <w:rPr>
          <w:rFonts w:ascii="宋体" w:hAnsi="宋体" w:eastAsia="宋体" w:cs="Times New Roman"/>
          <w:kern w:val="0"/>
          <w:szCs w:val="21"/>
        </w:rPr>
        <w:t>表</w:t>
      </w:r>
    </w:p>
    <w:tbl>
      <w:tblPr>
        <w:tblStyle w:val="13"/>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542"/>
        <w:gridCol w:w="478"/>
        <w:gridCol w:w="1110"/>
        <w:gridCol w:w="1053"/>
        <w:gridCol w:w="708"/>
        <w:gridCol w:w="708"/>
        <w:gridCol w:w="844"/>
        <w:gridCol w:w="917"/>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507" w:type="dxa"/>
          </w:tcPr>
          <w:p>
            <w:pPr>
              <w:pStyle w:val="40"/>
              <w:rPr>
                <w:rFonts w:ascii="宋体" w:hAnsi="宋体" w:cs="宋体"/>
                <w:kern w:val="0"/>
                <w:szCs w:val="21"/>
              </w:rPr>
            </w:pPr>
            <w:r>
              <w:rPr>
                <w:rFonts w:hint="eastAsia" w:ascii="宋体" w:hAnsi="宋体" w:cs="宋体"/>
                <w:kern w:val="0"/>
                <w:szCs w:val="21"/>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0</wp:posOffset>
                      </wp:positionV>
                      <wp:extent cx="955675" cy="347980"/>
                      <wp:effectExtent l="1905" t="4445" r="7620" b="15875"/>
                      <wp:wrapNone/>
                      <wp:docPr id="6" name="直接连接符 6"/>
                      <wp:cNvGraphicFramePr/>
                      <a:graphic xmlns:a="http://schemas.openxmlformats.org/drawingml/2006/main">
                        <a:graphicData uri="http://schemas.microsoft.com/office/word/2010/wordprocessingShape">
                          <wps:wsp>
                            <wps:cNvCnPr/>
                            <wps:spPr>
                              <a:xfrm>
                                <a:off x="0" y="0"/>
                                <a:ext cx="955675" cy="34798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9pt;margin-top:0pt;height:27.4pt;width:75.25pt;z-index:251659264;mso-width-relative:page;mso-height-relative:page;" filled="f" stroked="t" coordsize="21600,21600" o:gfxdata="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r+/L1AAAAAYBAAAPAAAAAAAAAAEAIAAAACIAAABkcnMvZG93bnJldi54bWxQSwEC&#10;FAAUAAAACACHTuJAC4QbRvgBAADqAwAADgAAAAAAAAABACAAAAAjAQAAZHJzL2Uyb0RvYy54bWxQ&#10;SwUGAAAAAAYABgBZAQAAjQUAAAAA&#10;">
                      <v:fill on="f" focussize="0,0"/>
                      <v:stroke weight="0.5pt" color="#000000" joinstyle="round"/>
                      <v:imagedata o:title=""/>
                      <o:lock v:ext="edit" aspectratio="f"/>
                    </v:line>
                  </w:pict>
                </mc:Fallback>
              </mc:AlternateContent>
            </w:r>
            <w:r>
              <w:rPr>
                <w:rFonts w:hint="eastAsia" w:ascii="宋体" w:hAnsi="宋体" w:cs="宋体"/>
                <w:kern w:val="0"/>
                <w:szCs w:val="21"/>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0</wp:posOffset>
                      </wp:positionV>
                      <wp:extent cx="593090" cy="979170"/>
                      <wp:effectExtent l="3810" t="2540" r="12700" b="8890"/>
                      <wp:wrapNone/>
                      <wp:docPr id="7" name="直接箭头连接符 7"/>
                      <wp:cNvGraphicFramePr/>
                      <a:graphic xmlns:a="http://schemas.openxmlformats.org/drawingml/2006/main">
                        <a:graphicData uri="http://schemas.microsoft.com/office/word/2010/wordprocessingShape">
                          <wps:wsp>
                            <wps:cNvCnPr/>
                            <wps:spPr>
                              <a:xfrm>
                                <a:off x="0" y="0"/>
                                <a:ext cx="593090" cy="979170"/>
                              </a:xfrm>
                              <a:prstGeom prst="straightConnector1">
                                <a:avLst/>
                              </a:prstGeom>
                              <a:ln w="63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4pt;margin-top:0pt;height:77.1pt;width:46.7pt;z-index:251660288;mso-width-relative:page;mso-height-relative:page;" filled="f" stroked="t" coordsize="21600,21600" o:gfxdata="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R9wZNUAAAAGAQAADwAAAAAAAAABACAAAAAiAAAAZHJz&#10;L2Rvd25yZXYueG1sUEsBAhQAFAAAAAgAh07iQNbQuiAHAgAA+gMAAA4AAAAAAAAAAQAgAAAAJAEA&#10;AGRycy9lMm9Eb2MueG1sUEsFBgAAAAAGAAYAWQEAAJ0FAAAAAA==&#10;">
                      <v:fill on="f" focussize="0,0"/>
                      <v:stroke weight="0.5pt" color="#000000" joinstyle="round"/>
                      <v:imagedata o:title=""/>
                      <o:lock v:ext="edit" aspectratio="f"/>
                    </v:shape>
                  </w:pict>
                </mc:Fallback>
              </mc:AlternateContent>
            </w:r>
            <w:r>
              <w:rPr>
                <w:rFonts w:hint="eastAsia" w:ascii="宋体" w:hAnsi="宋体" w:cs="宋体"/>
                <w:kern w:val="0"/>
                <w:szCs w:val="21"/>
              </w:rPr>
              <w:t xml:space="preserve">        内容</w:t>
            </w:r>
          </w:p>
          <w:p>
            <w:pPr>
              <w:pStyle w:val="40"/>
              <w:rPr>
                <w:rFonts w:ascii="宋体" w:hAnsi="宋体" w:cs="宋体"/>
                <w:kern w:val="0"/>
                <w:szCs w:val="21"/>
              </w:rPr>
            </w:pPr>
          </w:p>
          <w:p>
            <w:pPr>
              <w:pStyle w:val="40"/>
              <w:rPr>
                <w:rFonts w:ascii="宋体" w:hAnsi="宋体" w:cs="宋体"/>
                <w:kern w:val="0"/>
                <w:szCs w:val="21"/>
              </w:rPr>
            </w:pPr>
            <w:r>
              <w:rPr>
                <w:rFonts w:hint="eastAsia" w:ascii="宋体" w:hAnsi="宋体" w:cs="宋体"/>
                <w:kern w:val="0"/>
                <w:szCs w:val="21"/>
              </w:rPr>
              <w:t xml:space="preserve">       周数</w:t>
            </w:r>
          </w:p>
          <w:p>
            <w:pPr>
              <w:pStyle w:val="40"/>
              <w:rPr>
                <w:rFonts w:ascii="宋体" w:hAnsi="宋体" w:cs="宋体"/>
                <w:kern w:val="0"/>
                <w:szCs w:val="21"/>
              </w:rPr>
            </w:pPr>
            <w:r>
              <w:rPr>
                <w:rFonts w:hint="eastAsia" w:ascii="宋体" w:hAnsi="宋体" w:cs="宋体"/>
                <w:kern w:val="0"/>
                <w:szCs w:val="21"/>
              </w:rPr>
              <w:t>学期</w:t>
            </w:r>
          </w:p>
        </w:tc>
        <w:tc>
          <w:tcPr>
            <w:tcW w:w="542"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教学</w:t>
            </w:r>
          </w:p>
        </w:tc>
        <w:tc>
          <w:tcPr>
            <w:tcW w:w="47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考核</w:t>
            </w:r>
          </w:p>
        </w:tc>
        <w:tc>
          <w:tcPr>
            <w:tcW w:w="1110" w:type="dxa"/>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入学教育军训</w:t>
            </w:r>
          </w:p>
        </w:tc>
        <w:tc>
          <w:tcPr>
            <w:tcW w:w="1053"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顶岗实习</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1+X证书考证培训</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综合实训</w:t>
            </w:r>
          </w:p>
        </w:tc>
        <w:tc>
          <w:tcPr>
            <w:tcW w:w="844"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毕业教育</w:t>
            </w:r>
          </w:p>
        </w:tc>
        <w:tc>
          <w:tcPr>
            <w:tcW w:w="917"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毕业设计（论文）</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机动</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寒暑假</w:t>
            </w:r>
          </w:p>
        </w:tc>
        <w:tc>
          <w:tcPr>
            <w:tcW w:w="708" w:type="dxa"/>
            <w:noWrap/>
            <w:vAlign w:val="center"/>
          </w:tcPr>
          <w:p>
            <w:pPr>
              <w:widowControl/>
              <w:spacing w:before="240"/>
              <w:jc w:val="center"/>
              <w:rPr>
                <w:rFonts w:ascii="宋体" w:hAnsi="宋体" w:eastAsia="宋体" w:cs="宋体"/>
                <w:kern w:val="0"/>
                <w:szCs w:val="21"/>
              </w:rPr>
            </w:pPr>
            <w:r>
              <w:rPr>
                <w:rFonts w:hint="eastAsia" w:ascii="宋体" w:hAnsi="宋体" w:eastAsia="宋体"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16</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r>
              <w:rPr>
                <w:rFonts w:hint="eastAsia" w:ascii="宋体" w:hAnsi="宋体" w:eastAsia="宋体" w:cs="宋体"/>
                <w:szCs w:val="21"/>
              </w:rPr>
              <w:t>2</w:t>
            </w: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2</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8</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3</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8</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5</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18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844" w:type="dxa"/>
            <w:noWrap/>
            <w:vAlign w:val="center"/>
          </w:tcPr>
          <w:p>
            <w:pPr>
              <w:jc w:val="center"/>
              <w:rPr>
                <w:rFonts w:ascii="宋体" w:hAnsi="宋体" w:eastAsia="宋体" w:cs="宋体"/>
                <w:szCs w:val="21"/>
              </w:rPr>
            </w:pPr>
          </w:p>
        </w:tc>
        <w:tc>
          <w:tcPr>
            <w:tcW w:w="917" w:type="dxa"/>
            <w:noWrap/>
            <w:vAlign w:val="center"/>
          </w:tcPr>
          <w:p>
            <w:pPr>
              <w:jc w:val="center"/>
              <w:rPr>
                <w:rFonts w:ascii="宋体" w:hAnsi="宋体" w:eastAsia="宋体" w:cs="宋体"/>
                <w:szCs w:val="21"/>
              </w:rPr>
            </w:pPr>
            <w:r>
              <w:rPr>
                <w:rFonts w:hint="eastAsia" w:ascii="宋体" w:hAnsi="宋体" w:eastAsia="宋体" w:cs="宋体"/>
                <w:szCs w:val="21"/>
              </w:rPr>
              <w:t>3</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jc w:val="center"/>
              <w:rPr>
                <w:rFonts w:ascii="宋体" w:hAnsi="宋体" w:eastAsia="宋体" w:cs="宋体"/>
                <w:szCs w:val="21"/>
              </w:rPr>
            </w:pPr>
            <w:r>
              <w:rPr>
                <w:rFonts w:hint="eastAsia" w:ascii="宋体" w:hAnsi="宋体" w:eastAsia="宋体" w:cs="宋体"/>
                <w:szCs w:val="21"/>
              </w:rPr>
              <w:t>6</w:t>
            </w:r>
          </w:p>
        </w:tc>
        <w:tc>
          <w:tcPr>
            <w:tcW w:w="542" w:type="dxa"/>
            <w:noWrap/>
            <w:vAlign w:val="center"/>
          </w:tcPr>
          <w:p>
            <w:pPr>
              <w:jc w:val="center"/>
              <w:rPr>
                <w:rFonts w:ascii="宋体" w:hAnsi="宋体" w:eastAsia="宋体" w:cs="宋体"/>
                <w:szCs w:val="21"/>
              </w:rPr>
            </w:pPr>
          </w:p>
        </w:tc>
        <w:tc>
          <w:tcPr>
            <w:tcW w:w="478" w:type="dxa"/>
            <w:noWrap/>
            <w:vAlign w:val="center"/>
          </w:tcPr>
          <w:p>
            <w:pPr>
              <w:jc w:val="center"/>
              <w:rPr>
                <w:rFonts w:ascii="宋体" w:hAnsi="宋体" w:eastAsia="宋体" w:cs="宋体"/>
                <w:szCs w:val="21"/>
              </w:rPr>
            </w:pPr>
          </w:p>
        </w:tc>
        <w:tc>
          <w:tcPr>
            <w:tcW w:w="1110" w:type="dxa"/>
            <w:noWrap/>
            <w:vAlign w:val="center"/>
          </w:tcPr>
          <w:p>
            <w:pPr>
              <w:jc w:val="center"/>
              <w:rPr>
                <w:rFonts w:ascii="宋体" w:hAnsi="宋体" w:eastAsia="宋体" w:cs="宋体"/>
                <w:szCs w:val="21"/>
              </w:rPr>
            </w:pPr>
          </w:p>
        </w:tc>
        <w:tc>
          <w:tcPr>
            <w:tcW w:w="1053" w:type="dxa"/>
            <w:noWrap/>
            <w:vAlign w:val="center"/>
          </w:tcPr>
          <w:p>
            <w:pPr>
              <w:jc w:val="center"/>
              <w:rPr>
                <w:rFonts w:ascii="宋体" w:hAnsi="宋体" w:eastAsia="宋体" w:cs="宋体"/>
                <w:szCs w:val="21"/>
              </w:rPr>
            </w:pPr>
            <w:r>
              <w:rPr>
                <w:rFonts w:hint="eastAsia" w:ascii="宋体" w:hAnsi="宋体" w:eastAsia="宋体" w:cs="宋体"/>
                <w:szCs w:val="21"/>
              </w:rPr>
              <w:t>17</w:t>
            </w: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p>
        </w:tc>
        <w:tc>
          <w:tcPr>
            <w:tcW w:w="844"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917"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8</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noWrap/>
            <w:vAlign w:val="center"/>
          </w:tcPr>
          <w:p>
            <w:pPr>
              <w:pStyle w:val="40"/>
              <w:jc w:val="center"/>
              <w:rPr>
                <w:rFonts w:ascii="宋体" w:hAnsi="宋体" w:cs="宋体"/>
                <w:kern w:val="0"/>
                <w:szCs w:val="21"/>
              </w:rPr>
            </w:pPr>
            <w:r>
              <w:rPr>
                <w:rFonts w:hint="eastAsia" w:ascii="宋体" w:hAnsi="宋体" w:cs="宋体"/>
                <w:kern w:val="0"/>
                <w:szCs w:val="21"/>
              </w:rPr>
              <w:t>总计</w:t>
            </w:r>
          </w:p>
        </w:tc>
        <w:tc>
          <w:tcPr>
            <w:tcW w:w="542" w:type="dxa"/>
            <w:noWrap/>
            <w:vAlign w:val="center"/>
          </w:tcPr>
          <w:p>
            <w:pPr>
              <w:jc w:val="center"/>
              <w:rPr>
                <w:rFonts w:ascii="宋体" w:hAnsi="宋体" w:eastAsia="宋体" w:cs="宋体"/>
                <w:szCs w:val="21"/>
              </w:rPr>
            </w:pPr>
            <w:r>
              <w:rPr>
                <w:rFonts w:hint="eastAsia" w:ascii="宋体" w:hAnsi="宋体" w:eastAsia="宋体" w:cs="宋体"/>
                <w:szCs w:val="21"/>
              </w:rPr>
              <w:t>88</w:t>
            </w:r>
          </w:p>
        </w:tc>
        <w:tc>
          <w:tcPr>
            <w:tcW w:w="478" w:type="dxa"/>
            <w:noWrap/>
            <w:vAlign w:val="center"/>
          </w:tcPr>
          <w:p>
            <w:pPr>
              <w:jc w:val="center"/>
              <w:rPr>
                <w:rFonts w:ascii="宋体" w:hAnsi="宋体" w:eastAsia="宋体" w:cs="宋体"/>
                <w:szCs w:val="21"/>
              </w:rPr>
            </w:pPr>
            <w:r>
              <w:rPr>
                <w:rFonts w:hint="eastAsia" w:ascii="宋体" w:hAnsi="宋体" w:eastAsia="宋体" w:cs="宋体"/>
                <w:szCs w:val="21"/>
              </w:rPr>
              <w:t>5</w:t>
            </w:r>
          </w:p>
        </w:tc>
        <w:tc>
          <w:tcPr>
            <w:tcW w:w="1110" w:type="dxa"/>
            <w:noWrap/>
            <w:vAlign w:val="center"/>
          </w:tcPr>
          <w:p>
            <w:pPr>
              <w:jc w:val="center"/>
              <w:rPr>
                <w:rFonts w:ascii="宋体" w:hAnsi="宋体" w:eastAsia="宋体" w:cs="宋体"/>
                <w:szCs w:val="21"/>
              </w:rPr>
            </w:pPr>
            <w:r>
              <w:rPr>
                <w:rFonts w:hint="eastAsia" w:ascii="宋体" w:hAnsi="宋体" w:eastAsia="宋体" w:cs="宋体"/>
                <w:szCs w:val="21"/>
              </w:rPr>
              <w:t>2</w:t>
            </w:r>
          </w:p>
        </w:tc>
        <w:tc>
          <w:tcPr>
            <w:tcW w:w="1053" w:type="dxa"/>
            <w:noWrap/>
            <w:vAlign w:val="center"/>
          </w:tcPr>
          <w:p>
            <w:pPr>
              <w:jc w:val="center"/>
              <w:rPr>
                <w:rFonts w:ascii="宋体" w:hAnsi="宋体" w:eastAsia="宋体" w:cs="宋体"/>
                <w:szCs w:val="21"/>
              </w:rPr>
            </w:pPr>
            <w:r>
              <w:rPr>
                <w:rFonts w:hint="eastAsia" w:ascii="宋体" w:hAnsi="宋体" w:eastAsia="宋体" w:cs="宋体"/>
                <w:szCs w:val="21"/>
              </w:rPr>
              <w:t>17</w:t>
            </w:r>
          </w:p>
        </w:tc>
        <w:tc>
          <w:tcPr>
            <w:tcW w:w="708" w:type="dxa"/>
            <w:noWrap/>
            <w:vAlign w:val="center"/>
          </w:tcPr>
          <w:p>
            <w:pPr>
              <w:jc w:val="center"/>
              <w:rPr>
                <w:rFonts w:ascii="宋体" w:hAnsi="宋体" w:eastAsia="宋体" w:cs="宋体"/>
                <w:szCs w:val="21"/>
              </w:rPr>
            </w:pP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844" w:type="dxa"/>
            <w:noWrap/>
            <w:vAlign w:val="center"/>
          </w:tcPr>
          <w:p>
            <w:pPr>
              <w:jc w:val="center"/>
              <w:rPr>
                <w:rFonts w:ascii="宋体" w:hAnsi="宋体" w:eastAsia="宋体" w:cs="宋体"/>
                <w:szCs w:val="21"/>
              </w:rPr>
            </w:pPr>
            <w:r>
              <w:rPr>
                <w:rFonts w:hint="eastAsia" w:ascii="宋体" w:hAnsi="宋体" w:eastAsia="宋体" w:cs="宋体"/>
                <w:szCs w:val="21"/>
              </w:rPr>
              <w:t>1</w:t>
            </w:r>
          </w:p>
        </w:tc>
        <w:tc>
          <w:tcPr>
            <w:tcW w:w="917" w:type="dxa"/>
            <w:noWrap/>
            <w:vAlign w:val="center"/>
          </w:tcPr>
          <w:p>
            <w:pPr>
              <w:jc w:val="center"/>
              <w:rPr>
                <w:rFonts w:ascii="宋体" w:hAnsi="宋体" w:eastAsia="宋体" w:cs="宋体"/>
                <w:szCs w:val="21"/>
              </w:rPr>
            </w:pPr>
            <w:r>
              <w:rPr>
                <w:rFonts w:hint="eastAsia" w:ascii="宋体" w:hAnsi="宋体" w:eastAsia="宋体" w:cs="宋体"/>
                <w:szCs w:val="21"/>
              </w:rPr>
              <w:t>4</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6</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36</w:t>
            </w:r>
          </w:p>
        </w:tc>
        <w:tc>
          <w:tcPr>
            <w:tcW w:w="708" w:type="dxa"/>
            <w:noWrap/>
            <w:vAlign w:val="center"/>
          </w:tcPr>
          <w:p>
            <w:pPr>
              <w:jc w:val="center"/>
              <w:rPr>
                <w:rFonts w:ascii="宋体" w:hAnsi="宋体" w:eastAsia="宋体" w:cs="宋体"/>
                <w:szCs w:val="21"/>
              </w:rPr>
            </w:pPr>
            <w:r>
              <w:rPr>
                <w:rFonts w:hint="eastAsia" w:ascii="宋体" w:hAnsi="宋体" w:eastAsia="宋体" w:cs="宋体"/>
                <w:szCs w:val="21"/>
              </w:rPr>
              <w:t>156</w:t>
            </w:r>
          </w:p>
        </w:tc>
      </w:tr>
    </w:tbl>
    <w:p>
      <w:pPr>
        <w:spacing w:line="360" w:lineRule="auto"/>
        <w:ind w:firstLine="420" w:firstLineChars="200"/>
        <w:jc w:val="center"/>
        <w:rPr>
          <w:rFonts w:ascii="宋体" w:hAnsi="宋体" w:eastAsia="宋体" w:cs="Times New Roman"/>
          <w:kern w:val="0"/>
          <w:szCs w:val="21"/>
        </w:rPr>
      </w:pPr>
    </w:p>
    <w:p>
      <w:pPr>
        <w:spacing w:line="360" w:lineRule="auto"/>
        <w:ind w:firstLine="480" w:firstLineChars="200"/>
        <w:rPr>
          <w:rFonts w:ascii="黑体" w:hAnsi="黑体" w:eastAsia="黑体" w:cs="Times New Roman"/>
          <w:sz w:val="24"/>
          <w:szCs w:val="24"/>
        </w:rPr>
      </w:pPr>
      <w:r>
        <w:rPr>
          <w:rFonts w:ascii="黑体" w:hAnsi="黑体" w:eastAsia="黑体" w:cs="Times New Roman"/>
          <w:sz w:val="24"/>
          <w:szCs w:val="24"/>
        </w:rPr>
        <w:t>（</w:t>
      </w:r>
      <w:r>
        <w:rPr>
          <w:rFonts w:hint="eastAsia" w:ascii="黑体" w:hAnsi="黑体" w:eastAsia="黑体" w:cs="Times New Roman"/>
          <w:sz w:val="24"/>
          <w:szCs w:val="24"/>
        </w:rPr>
        <w:t>二</w:t>
      </w:r>
      <w:r>
        <w:rPr>
          <w:rFonts w:ascii="黑体" w:hAnsi="黑体" w:eastAsia="黑体" w:cs="Times New Roman"/>
          <w:sz w:val="24"/>
          <w:szCs w:val="24"/>
        </w:rPr>
        <w:t>）</w:t>
      </w:r>
      <w:r>
        <w:rPr>
          <w:rFonts w:hint="eastAsia" w:ascii="黑体" w:hAnsi="黑体" w:eastAsia="黑体" w:cs="Times New Roman"/>
          <w:sz w:val="24"/>
          <w:szCs w:val="24"/>
        </w:rPr>
        <w:t>课程设置与教学安排计划表</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食品检验检测技术专业课程设置与教学安排计划如表七所示。</w:t>
      </w:r>
    </w:p>
    <w:p>
      <w:pPr>
        <w:spacing w:line="360" w:lineRule="auto"/>
        <w:ind w:firstLine="420" w:firstLineChars="200"/>
        <w:jc w:val="center"/>
        <w:rPr>
          <w:rFonts w:ascii="宋体" w:hAnsi="宋体" w:eastAsia="宋体" w:cs="微软雅黑"/>
          <w:szCs w:val="21"/>
        </w:rPr>
      </w:pPr>
      <w:r>
        <w:rPr>
          <w:rFonts w:ascii="宋体" w:hAnsi="宋体" w:eastAsia="宋体" w:cs="Times New Roman"/>
          <w:kern w:val="0"/>
          <w:szCs w:val="21"/>
        </w:rPr>
        <w:t>表</w:t>
      </w:r>
      <w:r>
        <w:rPr>
          <w:rFonts w:hint="eastAsia" w:ascii="宋体" w:hAnsi="宋体" w:eastAsia="宋体" w:cs="Times New Roman"/>
          <w:kern w:val="0"/>
          <w:szCs w:val="21"/>
        </w:rPr>
        <w:t>七</w:t>
      </w:r>
      <w:r>
        <w:rPr>
          <w:rFonts w:ascii="宋体" w:hAnsi="宋体" w:eastAsia="宋体" w:cs="Times New Roman"/>
          <w:kern w:val="0"/>
          <w:szCs w:val="21"/>
        </w:rPr>
        <w:t xml:space="preserve"> </w:t>
      </w:r>
      <w:r>
        <w:rPr>
          <w:rFonts w:hint="eastAsia" w:ascii="宋体" w:hAnsi="宋体" w:eastAsia="宋体" w:cs="微软雅黑"/>
          <w:szCs w:val="21"/>
        </w:rPr>
        <w:t>食品检验检测技术专业课程设置与教学安排计划表</w:t>
      </w:r>
    </w:p>
    <w:tbl>
      <w:tblPr>
        <w:tblStyle w:val="13"/>
        <w:tblW w:w="103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426"/>
        <w:gridCol w:w="855"/>
        <w:gridCol w:w="942"/>
        <w:gridCol w:w="426"/>
        <w:gridCol w:w="741"/>
        <w:gridCol w:w="534"/>
        <w:gridCol w:w="640"/>
        <w:gridCol w:w="640"/>
        <w:gridCol w:w="640"/>
        <w:gridCol w:w="951"/>
        <w:gridCol w:w="426"/>
        <w:gridCol w:w="531"/>
        <w:gridCol w:w="435"/>
        <w:gridCol w:w="63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blHeader/>
        </w:trPr>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课程性质</w:t>
            </w: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课程类别</w:t>
            </w: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855" w:type="dxa"/>
            <w:vMerge w:val="restart"/>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课程</w:t>
            </w:r>
          </w:p>
          <w:p>
            <w:pPr>
              <w:widowControl/>
              <w:jc w:val="center"/>
              <w:rPr>
                <w:rFonts w:ascii="宋体" w:hAnsi="宋体" w:eastAsia="宋体" w:cs="宋体"/>
                <w:kern w:val="0"/>
                <w:szCs w:val="21"/>
              </w:rPr>
            </w:pPr>
            <w:r>
              <w:rPr>
                <w:rFonts w:hint="eastAsia" w:ascii="宋体" w:hAnsi="宋体" w:eastAsia="宋体" w:cs="宋体"/>
                <w:kern w:val="0"/>
                <w:szCs w:val="21"/>
              </w:rPr>
              <w:t>编码</w:t>
            </w:r>
          </w:p>
        </w:tc>
        <w:tc>
          <w:tcPr>
            <w:tcW w:w="942"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课程名称</w:t>
            </w:r>
          </w:p>
        </w:tc>
        <w:tc>
          <w:tcPr>
            <w:tcW w:w="1167" w:type="dxa"/>
            <w:gridSpan w:val="2"/>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学期</w:t>
            </w:r>
          </w:p>
        </w:tc>
        <w:tc>
          <w:tcPr>
            <w:tcW w:w="534"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学分</w:t>
            </w:r>
          </w:p>
        </w:tc>
        <w:tc>
          <w:tcPr>
            <w:tcW w:w="1920" w:type="dxa"/>
            <w:gridSpan w:val="3"/>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学时数</w:t>
            </w:r>
          </w:p>
        </w:tc>
        <w:tc>
          <w:tcPr>
            <w:tcW w:w="3617" w:type="dxa"/>
            <w:gridSpan w:val="6"/>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课程教学周学时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855" w:type="dxa"/>
            <w:vMerge w:val="continue"/>
            <w:vAlign w:val="center"/>
          </w:tcPr>
          <w:p>
            <w:pPr>
              <w:widowControl/>
              <w:jc w:val="left"/>
              <w:rPr>
                <w:rFonts w:ascii="宋体" w:hAnsi="宋体" w:eastAsia="宋体" w:cs="宋体"/>
                <w:kern w:val="0"/>
                <w:szCs w:val="21"/>
              </w:rPr>
            </w:pPr>
          </w:p>
        </w:tc>
        <w:tc>
          <w:tcPr>
            <w:tcW w:w="942" w:type="dxa"/>
            <w:vMerge w:val="continue"/>
            <w:vAlign w:val="center"/>
          </w:tcPr>
          <w:p>
            <w:pPr>
              <w:widowControl/>
              <w:jc w:val="left"/>
              <w:rPr>
                <w:rFonts w:ascii="宋体" w:hAnsi="宋体" w:eastAsia="宋体" w:cs="宋体"/>
                <w:kern w:val="0"/>
                <w:szCs w:val="21"/>
              </w:rPr>
            </w:pP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考试</w:t>
            </w:r>
          </w:p>
        </w:tc>
        <w:tc>
          <w:tcPr>
            <w:tcW w:w="741"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考查</w:t>
            </w:r>
          </w:p>
        </w:tc>
        <w:tc>
          <w:tcPr>
            <w:tcW w:w="534" w:type="dxa"/>
            <w:vMerge w:val="continue"/>
            <w:vAlign w:val="center"/>
          </w:tcPr>
          <w:p>
            <w:pPr>
              <w:widowControl/>
              <w:jc w:val="left"/>
              <w:rPr>
                <w:rFonts w:ascii="宋体" w:hAnsi="宋体" w:eastAsia="宋体" w:cs="宋体"/>
                <w:kern w:val="0"/>
                <w:szCs w:val="21"/>
              </w:rPr>
            </w:pPr>
          </w:p>
        </w:tc>
        <w:tc>
          <w:tcPr>
            <w:tcW w:w="640"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总计</w:t>
            </w:r>
          </w:p>
        </w:tc>
        <w:tc>
          <w:tcPr>
            <w:tcW w:w="640"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理论</w:t>
            </w:r>
          </w:p>
        </w:tc>
        <w:tc>
          <w:tcPr>
            <w:tcW w:w="640"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实践</w:t>
            </w:r>
          </w:p>
        </w:tc>
        <w:tc>
          <w:tcPr>
            <w:tcW w:w="1377" w:type="dxa"/>
            <w:gridSpan w:val="2"/>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第一学年</w:t>
            </w:r>
          </w:p>
        </w:tc>
        <w:tc>
          <w:tcPr>
            <w:tcW w:w="966" w:type="dxa"/>
            <w:gridSpan w:val="2"/>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第二学年</w:t>
            </w:r>
          </w:p>
        </w:tc>
        <w:tc>
          <w:tcPr>
            <w:tcW w:w="1274" w:type="dxa"/>
            <w:gridSpan w:val="2"/>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855" w:type="dxa"/>
            <w:vMerge w:val="continue"/>
            <w:vAlign w:val="center"/>
          </w:tcPr>
          <w:p>
            <w:pPr>
              <w:widowControl/>
              <w:jc w:val="left"/>
              <w:rPr>
                <w:rFonts w:ascii="宋体" w:hAnsi="宋体" w:eastAsia="宋体" w:cs="宋体"/>
                <w:kern w:val="0"/>
                <w:szCs w:val="21"/>
              </w:rPr>
            </w:pPr>
          </w:p>
        </w:tc>
        <w:tc>
          <w:tcPr>
            <w:tcW w:w="942"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741" w:type="dxa"/>
            <w:vMerge w:val="continue"/>
            <w:vAlign w:val="center"/>
          </w:tcPr>
          <w:p>
            <w:pPr>
              <w:widowControl/>
              <w:jc w:val="left"/>
              <w:rPr>
                <w:rFonts w:ascii="宋体" w:hAnsi="宋体" w:eastAsia="宋体" w:cs="宋体"/>
                <w:kern w:val="0"/>
                <w:szCs w:val="21"/>
              </w:rPr>
            </w:pPr>
          </w:p>
        </w:tc>
        <w:tc>
          <w:tcPr>
            <w:tcW w:w="534"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855" w:type="dxa"/>
            <w:vMerge w:val="continue"/>
            <w:vAlign w:val="center"/>
          </w:tcPr>
          <w:p>
            <w:pPr>
              <w:widowControl/>
              <w:jc w:val="left"/>
              <w:rPr>
                <w:rFonts w:ascii="宋体" w:hAnsi="宋体" w:eastAsia="宋体" w:cs="宋体"/>
                <w:kern w:val="0"/>
                <w:szCs w:val="21"/>
              </w:rPr>
            </w:pPr>
          </w:p>
        </w:tc>
        <w:tc>
          <w:tcPr>
            <w:tcW w:w="942"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741" w:type="dxa"/>
            <w:vMerge w:val="continue"/>
            <w:vAlign w:val="center"/>
          </w:tcPr>
          <w:p>
            <w:pPr>
              <w:widowControl/>
              <w:jc w:val="left"/>
              <w:rPr>
                <w:rFonts w:ascii="宋体" w:hAnsi="宋体" w:eastAsia="宋体" w:cs="宋体"/>
                <w:kern w:val="0"/>
                <w:szCs w:val="21"/>
              </w:rPr>
            </w:pPr>
          </w:p>
        </w:tc>
        <w:tc>
          <w:tcPr>
            <w:tcW w:w="534"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640" w:type="dxa"/>
            <w:vMerge w:val="continue"/>
            <w:vAlign w:val="center"/>
          </w:tcPr>
          <w:p>
            <w:pPr>
              <w:widowControl/>
              <w:jc w:val="left"/>
              <w:rPr>
                <w:rFonts w:ascii="宋体" w:hAnsi="宋体" w:eastAsia="宋体" w:cs="宋体"/>
                <w:kern w:val="0"/>
                <w:szCs w:val="21"/>
              </w:rPr>
            </w:pP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16周</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公共必修课</w:t>
            </w: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公共基础课</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GB0001</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军事理论</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951"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18/2</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GB0002</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军事技能</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112</w:t>
            </w:r>
          </w:p>
        </w:tc>
        <w:tc>
          <w:tcPr>
            <w:tcW w:w="951"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56/2</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GB0003</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毛泽东思想和中国特色社会主义理论体系概论</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534" w:type="dxa"/>
            <w:shd w:val="clear" w:color="auto" w:fill="auto"/>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2</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24</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12</w:t>
            </w:r>
          </w:p>
        </w:tc>
        <w:tc>
          <w:tcPr>
            <w:tcW w:w="951"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426" w:type="dxa"/>
            <w:shd w:val="clear" w:color="000000" w:fill="FFFFFF"/>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2</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GB0004</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思想道德修养与法律基础(含廉洁修身)</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GB0005</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形势与政策</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980"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每学期8学时</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GB0006</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英语</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GB0007</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体育(含健康教育)</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74</w:t>
            </w:r>
          </w:p>
        </w:tc>
        <w:tc>
          <w:tcPr>
            <w:tcW w:w="95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2 </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2 </w:t>
            </w:r>
          </w:p>
        </w:tc>
        <w:tc>
          <w:tcPr>
            <w:tcW w:w="531"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c>
          <w:tcPr>
            <w:tcW w:w="435"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 </w:t>
            </w:r>
          </w:p>
        </w:tc>
        <w:tc>
          <w:tcPr>
            <w:tcW w:w="637" w:type="dxa"/>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GB0008</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体能测试</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951"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6/1</w:t>
            </w:r>
          </w:p>
        </w:tc>
        <w:tc>
          <w:tcPr>
            <w:tcW w:w="426"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6/1</w:t>
            </w:r>
          </w:p>
        </w:tc>
        <w:tc>
          <w:tcPr>
            <w:tcW w:w="435"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6/1</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GB0009</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信息技术</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68</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38</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GB0010</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大学语文</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GB0011</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大学生心理健康教育</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GB0012</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大学生职业发展与就业指导</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980"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每学期6学时</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GB0013</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大学生创新创业指导</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980"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每学期6学时</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GB0014</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国家安全教育</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980"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w:t>
            </w:r>
            <w:r>
              <w:rPr>
                <w:rFonts w:hint="eastAsia" w:ascii="宋体" w:hAnsi="宋体" w:eastAsia="宋体" w:cs="宋体"/>
                <w:b/>
                <w:bCs/>
                <w:color w:val="FF0000"/>
                <w:kern w:val="0"/>
                <w:szCs w:val="21"/>
              </w:rPr>
              <w:t>学年</w:t>
            </w:r>
            <w:r>
              <w:rPr>
                <w:rFonts w:hint="eastAsia" w:ascii="宋体" w:hAnsi="宋体" w:eastAsia="宋体" w:cs="宋体"/>
                <w:kern w:val="0"/>
                <w:szCs w:val="21"/>
              </w:rPr>
              <w:t>4-6学时，共16学时</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GB0015</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劳动专题教育</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2980"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每学期2-4学时，共16学时</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GB0016</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劳动</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12345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44</w:t>
            </w:r>
          </w:p>
        </w:tc>
        <w:tc>
          <w:tcPr>
            <w:tcW w:w="2980" w:type="dxa"/>
            <w:gridSpan w:val="5"/>
            <w:shd w:val="clear" w:color="000000" w:fill="FFFF00"/>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每学年设劳动周（安排在寒假或暑假，校内每2周安排一次学生集体劳动，日常实训实习渗透劳动教育）</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17</w:t>
            </w:r>
          </w:p>
        </w:tc>
        <w:tc>
          <w:tcPr>
            <w:tcW w:w="855" w:type="dxa"/>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color w:val="FF0000"/>
                <w:kern w:val="0"/>
                <w:szCs w:val="21"/>
              </w:rPr>
              <w:t>GB001</w:t>
            </w:r>
            <w:r>
              <w:rPr>
                <w:rFonts w:hint="eastAsia" w:ascii="宋体" w:hAnsi="宋体" w:eastAsia="宋体" w:cs="宋体"/>
                <w:color w:val="FF0000"/>
                <w:kern w:val="0"/>
                <w:szCs w:val="21"/>
                <w:lang w:val="en-US" w:eastAsia="zh-CN"/>
              </w:rPr>
              <w:t>7</w:t>
            </w:r>
          </w:p>
        </w:tc>
        <w:tc>
          <w:tcPr>
            <w:tcW w:w="942" w:type="dxa"/>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color w:val="FF0000"/>
                <w:kern w:val="0"/>
                <w:szCs w:val="21"/>
              </w:rPr>
              <w:t>习近平新时代中国特色社会主义思想概论</w:t>
            </w:r>
          </w:p>
        </w:tc>
        <w:tc>
          <w:tcPr>
            <w:tcW w:w="426" w:type="dxa"/>
            <w:shd w:val="clear" w:color="auto" w:fill="auto"/>
            <w:vAlign w:val="center"/>
          </w:tcPr>
          <w:p>
            <w:pPr>
              <w:widowControl/>
              <w:jc w:val="center"/>
              <w:rPr>
                <w:rFonts w:hint="eastAsia" w:ascii="宋体" w:hAnsi="宋体" w:eastAsia="宋体" w:cs="宋体"/>
                <w:kern w:val="0"/>
                <w:szCs w:val="21"/>
              </w:rPr>
            </w:pPr>
          </w:p>
        </w:tc>
        <w:tc>
          <w:tcPr>
            <w:tcW w:w="741" w:type="dxa"/>
            <w:shd w:val="clear" w:color="auto" w:fill="auto"/>
            <w:vAlign w:val="center"/>
          </w:tcPr>
          <w:p>
            <w:pPr>
              <w:widowControl/>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2</w:t>
            </w:r>
          </w:p>
        </w:tc>
        <w:tc>
          <w:tcPr>
            <w:tcW w:w="534" w:type="dxa"/>
            <w:shd w:val="clear" w:color="auto" w:fill="auto"/>
            <w:vAlign w:val="center"/>
          </w:tcPr>
          <w:p>
            <w:pPr>
              <w:widowControl/>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2</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54</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18</w:t>
            </w:r>
          </w:p>
        </w:tc>
        <w:tc>
          <w:tcPr>
            <w:tcW w:w="951" w:type="dxa"/>
            <w:shd w:val="clear" w:color="000000" w:fill="FFFF00"/>
            <w:vAlign w:val="center"/>
          </w:tcPr>
          <w:p>
            <w:pPr>
              <w:widowControl/>
              <w:jc w:val="center"/>
              <w:rPr>
                <w:rFonts w:hint="eastAsia" w:ascii="宋体" w:hAnsi="宋体" w:eastAsia="宋体" w:cs="宋体"/>
                <w:kern w:val="0"/>
                <w:szCs w:val="21"/>
              </w:rPr>
            </w:pPr>
          </w:p>
        </w:tc>
        <w:tc>
          <w:tcPr>
            <w:tcW w:w="426" w:type="dxa"/>
            <w:shd w:val="clear" w:color="000000" w:fill="FFFF00"/>
            <w:vAlign w:val="center"/>
          </w:tcPr>
          <w:p>
            <w:pPr>
              <w:widowControl/>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2</w:t>
            </w:r>
          </w:p>
        </w:tc>
        <w:tc>
          <w:tcPr>
            <w:tcW w:w="531" w:type="dxa"/>
            <w:shd w:val="clear" w:color="000000" w:fill="FFFF00"/>
            <w:vAlign w:val="center"/>
          </w:tcPr>
          <w:p>
            <w:pPr>
              <w:widowControl/>
              <w:jc w:val="center"/>
              <w:rPr>
                <w:rFonts w:hint="eastAsia" w:ascii="宋体" w:hAnsi="宋体" w:eastAsia="宋体" w:cs="宋体"/>
                <w:kern w:val="0"/>
                <w:szCs w:val="21"/>
                <w:lang w:val="en-US" w:eastAsia="zh-CN"/>
              </w:rPr>
            </w:pPr>
          </w:p>
        </w:tc>
        <w:tc>
          <w:tcPr>
            <w:tcW w:w="435" w:type="dxa"/>
            <w:shd w:val="clear" w:color="000000" w:fill="FFFF00"/>
            <w:vAlign w:val="center"/>
          </w:tcPr>
          <w:p>
            <w:pPr>
              <w:widowControl/>
              <w:jc w:val="center"/>
              <w:rPr>
                <w:rFonts w:hint="eastAsia" w:ascii="宋体" w:hAnsi="宋体" w:eastAsia="宋体" w:cs="宋体"/>
                <w:kern w:val="0"/>
                <w:szCs w:val="21"/>
              </w:rPr>
            </w:pPr>
          </w:p>
        </w:tc>
        <w:tc>
          <w:tcPr>
            <w:tcW w:w="637" w:type="dxa"/>
            <w:shd w:val="clear" w:color="000000" w:fill="FFFF00"/>
            <w:vAlign w:val="center"/>
          </w:tcPr>
          <w:p>
            <w:pPr>
              <w:widowControl/>
              <w:jc w:val="center"/>
              <w:rPr>
                <w:rFonts w:hint="eastAsia" w:ascii="宋体" w:hAnsi="宋体" w:eastAsia="宋体" w:cs="宋体"/>
                <w:kern w:val="0"/>
                <w:szCs w:val="21"/>
              </w:rPr>
            </w:pPr>
          </w:p>
        </w:tc>
        <w:tc>
          <w:tcPr>
            <w:tcW w:w="637" w:type="dxa"/>
            <w:shd w:val="clear" w:color="000000" w:fill="FFFFFF"/>
            <w:vAlign w:val="center"/>
          </w:tcPr>
          <w:p>
            <w:pPr>
              <w:widowControl/>
              <w:ind w:firstLine="420" w:firstLineChars="200"/>
              <w:jc w:val="left"/>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223" w:type="dxa"/>
            <w:gridSpan w:val="3"/>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公共基础课小计</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highlight w:val="none"/>
                <w:lang w:val="en-US" w:eastAsia="zh-CN"/>
              </w:rPr>
              <w:t>42</w:t>
            </w:r>
          </w:p>
        </w:tc>
        <w:tc>
          <w:tcPr>
            <w:tcW w:w="640" w:type="dxa"/>
            <w:shd w:val="clear" w:color="auto" w:fill="auto"/>
            <w:vAlign w:val="center"/>
          </w:tcPr>
          <w:p>
            <w:pPr>
              <w:widowControl/>
              <w:jc w:val="center"/>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856</w:t>
            </w:r>
          </w:p>
        </w:tc>
        <w:tc>
          <w:tcPr>
            <w:tcW w:w="640" w:type="dxa"/>
            <w:shd w:val="clear" w:color="auto" w:fill="auto"/>
            <w:vAlign w:val="center"/>
          </w:tcPr>
          <w:p>
            <w:pPr>
              <w:widowControl/>
              <w:jc w:val="center"/>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478</w:t>
            </w:r>
          </w:p>
        </w:tc>
        <w:tc>
          <w:tcPr>
            <w:tcW w:w="640" w:type="dxa"/>
            <w:shd w:val="clear" w:color="auto" w:fill="auto"/>
            <w:vAlign w:val="center"/>
          </w:tcPr>
          <w:p>
            <w:pPr>
              <w:widowControl/>
              <w:jc w:val="center"/>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378</w:t>
            </w:r>
          </w:p>
        </w:tc>
        <w:tc>
          <w:tcPr>
            <w:tcW w:w="951" w:type="dxa"/>
            <w:shd w:val="clear" w:color="000000" w:fill="FFFFFF"/>
            <w:vAlign w:val="center"/>
          </w:tcPr>
          <w:p>
            <w:pPr>
              <w:widowControl/>
              <w:jc w:val="center"/>
              <w:rPr>
                <w:rFonts w:ascii="宋体" w:hAnsi="宋体" w:eastAsia="宋体" w:cs="宋体"/>
                <w:b/>
                <w:bCs/>
                <w:color w:val="FF0000"/>
                <w:kern w:val="0"/>
                <w:szCs w:val="21"/>
              </w:rPr>
            </w:pPr>
            <w:r>
              <w:rPr>
                <w:rFonts w:hint="eastAsia" w:ascii="宋体" w:hAnsi="宋体" w:eastAsia="宋体" w:cs="宋体"/>
                <w:b/>
                <w:bCs/>
                <w:color w:val="FF0000"/>
                <w:kern w:val="0"/>
                <w:szCs w:val="21"/>
              </w:rPr>
              <w:t>　</w:t>
            </w:r>
          </w:p>
        </w:tc>
        <w:tc>
          <w:tcPr>
            <w:tcW w:w="426"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31"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5"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37"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专业必修课</w:t>
            </w: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专业核心课</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050201</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有机化学</w:t>
            </w:r>
          </w:p>
        </w:tc>
        <w:tc>
          <w:tcPr>
            <w:tcW w:w="42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951" w:type="dxa"/>
            <w:shd w:val="clear" w:color="000000" w:fill="FFFFFF"/>
            <w:vAlign w:val="center"/>
          </w:tcPr>
          <w:p>
            <w:pPr>
              <w:widowControl/>
              <w:jc w:val="center"/>
              <w:rPr>
                <w:rFonts w:ascii="宋体" w:hAnsi="宋体" w:eastAsia="宋体" w:cs="宋体"/>
                <w:kern w:val="0"/>
                <w:szCs w:val="21"/>
              </w:rPr>
            </w:pP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050202</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食品原料学</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050203</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食品基础化学</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050204</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检测实验室管理</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050205</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食品微生物学</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050206</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食品标准与法规</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6" w:type="dxa"/>
            <w:shd w:val="clear" w:color="000000" w:fill="FFFFFF"/>
            <w:vAlign w:val="center"/>
          </w:tcPr>
          <w:p>
            <w:pPr>
              <w:widowControl/>
              <w:jc w:val="center"/>
              <w:rPr>
                <w:rFonts w:ascii="宋体" w:hAnsi="宋体" w:eastAsia="宋体" w:cs="宋体"/>
                <w:kern w:val="0"/>
                <w:szCs w:val="21"/>
              </w:rPr>
            </w:pP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050207</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食品质量与安全</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050208</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粮油加工检验技术</w:t>
            </w:r>
          </w:p>
        </w:tc>
        <w:tc>
          <w:tcPr>
            <w:tcW w:w="426"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741"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6" w:type="dxa"/>
            <w:shd w:val="clear" w:color="000000" w:fill="FFFFFF"/>
            <w:vAlign w:val="center"/>
          </w:tcPr>
          <w:p>
            <w:pPr>
              <w:widowControl/>
              <w:jc w:val="center"/>
              <w:rPr>
                <w:rFonts w:ascii="宋体" w:hAnsi="宋体" w:eastAsia="宋体" w:cs="宋体"/>
                <w:kern w:val="0"/>
                <w:szCs w:val="21"/>
              </w:rPr>
            </w:pP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223" w:type="dxa"/>
            <w:gridSpan w:val="3"/>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专业核心课小计</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3</w:t>
            </w:r>
            <w:r>
              <w:rPr>
                <w:rFonts w:hint="eastAsia" w:ascii="宋体" w:hAnsi="宋体" w:eastAsia="宋体" w:cs="宋体"/>
                <w:b/>
                <w:bCs/>
                <w:color w:val="000000" w:themeColor="text1"/>
                <w:kern w:val="0"/>
                <w:szCs w:val="21"/>
                <w:lang w:val="en-US" w:eastAsia="zh-CN"/>
                <w14:textFill>
                  <w14:solidFill>
                    <w14:schemeClr w14:val="tx1"/>
                  </w14:solidFill>
                </w14:textFill>
              </w:rPr>
              <w:t>6</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608</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304</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304</w:t>
            </w:r>
          </w:p>
        </w:tc>
        <w:tc>
          <w:tcPr>
            <w:tcW w:w="951"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w:t>
            </w:r>
          </w:p>
        </w:tc>
        <w:tc>
          <w:tcPr>
            <w:tcW w:w="426"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31"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5"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eastAsia" w:ascii="宋体" w:hAnsi="宋体" w:eastAsia="宋体" w:cs="宋体"/>
                <w:kern w:val="0"/>
                <w:szCs w:val="21"/>
              </w:rPr>
            </w:pPr>
          </w:p>
        </w:tc>
        <w:tc>
          <w:tcPr>
            <w:tcW w:w="426" w:type="dxa"/>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855" w:type="dxa"/>
            <w:shd w:val="clear" w:color="auto" w:fill="auto"/>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05020</w:t>
            </w:r>
            <w:r>
              <w:rPr>
                <w:rFonts w:hint="eastAsia" w:ascii="宋体" w:hAnsi="宋体" w:eastAsia="宋体" w:cs="宋体"/>
                <w:color w:val="000000" w:themeColor="text1"/>
                <w:kern w:val="0"/>
                <w:szCs w:val="21"/>
                <w:lang w:val="en-US" w:eastAsia="zh-CN"/>
                <w14:textFill>
                  <w14:solidFill>
                    <w14:schemeClr w14:val="tx1"/>
                  </w14:solidFill>
                </w14:textFill>
              </w:rPr>
              <w:t>9</w:t>
            </w:r>
          </w:p>
        </w:tc>
        <w:tc>
          <w:tcPr>
            <w:tcW w:w="942" w:type="dxa"/>
            <w:shd w:val="clear" w:color="auto" w:fill="auto"/>
            <w:vAlign w:val="center"/>
          </w:tcPr>
          <w:p>
            <w:pPr>
              <w:widowControl/>
              <w:jc w:val="left"/>
              <w:rPr>
                <w:rFonts w:hint="eastAsia" w:ascii="宋体" w:hAnsi="宋体" w:eastAsia="宋体" w:cs="宋体"/>
                <w:color w:val="000000" w:themeColor="text1"/>
                <w:kern w:val="0"/>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食品营养与</w:t>
            </w:r>
            <w:r>
              <w:rPr>
                <w:rFonts w:hint="eastAsia" w:ascii="宋体" w:hAnsi="宋体" w:eastAsia="宋体" w:cs="宋体"/>
                <w:color w:val="000000" w:themeColor="text1"/>
                <w:kern w:val="0"/>
                <w:szCs w:val="21"/>
                <w:lang w:val="en-US" w:eastAsia="zh-CN"/>
                <w14:textFill>
                  <w14:solidFill>
                    <w14:schemeClr w14:val="tx1"/>
                  </w14:solidFill>
                </w14:textFill>
              </w:rPr>
              <w:t>卫生</w:t>
            </w:r>
          </w:p>
        </w:tc>
        <w:tc>
          <w:tcPr>
            <w:tcW w:w="426" w:type="dxa"/>
            <w:shd w:val="clear" w:color="auto" w:fill="auto"/>
            <w:vAlign w:val="center"/>
          </w:tcPr>
          <w:p>
            <w:pPr>
              <w:widowControl/>
              <w:jc w:val="center"/>
              <w:rPr>
                <w:rFonts w:hint="eastAsia" w:ascii="宋体" w:hAnsi="宋体" w:eastAsia="宋体" w:cs="宋体"/>
                <w:color w:val="000000" w:themeColor="text1"/>
                <w:kern w:val="0"/>
                <w:sz w:val="21"/>
                <w:szCs w:val="21"/>
                <w:highlight w:val="yellow"/>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741" w:type="dxa"/>
            <w:shd w:val="clear" w:color="auto" w:fill="auto"/>
            <w:vAlign w:val="center"/>
          </w:tcPr>
          <w:p>
            <w:pPr>
              <w:widowControl/>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34" w:type="dxa"/>
            <w:shd w:val="clear" w:color="auto" w:fill="auto"/>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p>
        </w:tc>
        <w:tc>
          <w:tcPr>
            <w:tcW w:w="640" w:type="dxa"/>
            <w:shd w:val="clear" w:color="auto" w:fill="auto"/>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64</w:t>
            </w:r>
          </w:p>
        </w:tc>
        <w:tc>
          <w:tcPr>
            <w:tcW w:w="640" w:type="dxa"/>
            <w:shd w:val="clear" w:color="auto" w:fill="auto"/>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32</w:t>
            </w:r>
          </w:p>
        </w:tc>
        <w:tc>
          <w:tcPr>
            <w:tcW w:w="640" w:type="dxa"/>
            <w:shd w:val="clear" w:color="auto" w:fill="auto"/>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32</w:t>
            </w:r>
          </w:p>
        </w:tc>
        <w:tc>
          <w:tcPr>
            <w:tcW w:w="951" w:type="dxa"/>
            <w:shd w:val="clear" w:color="000000" w:fill="FFFFFF"/>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p>
        </w:tc>
        <w:tc>
          <w:tcPr>
            <w:tcW w:w="426" w:type="dxa"/>
            <w:shd w:val="clear" w:color="000000" w:fill="FFFFFF"/>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531" w:type="dxa"/>
            <w:shd w:val="clear" w:color="000000" w:fill="FFFFFF"/>
            <w:vAlign w:val="center"/>
          </w:tcPr>
          <w:p>
            <w:pPr>
              <w:widowControl/>
              <w:jc w:val="center"/>
              <w:rPr>
                <w:rFonts w:hint="eastAsia" w:ascii="宋体" w:hAnsi="宋体" w:eastAsia="宋体" w:cs="宋体"/>
                <w:kern w:val="0"/>
                <w:sz w:val="21"/>
                <w:szCs w:val="21"/>
                <w:lang w:val="en-US" w:eastAsia="zh-CN" w:bidi="ar-SA"/>
              </w:rPr>
            </w:pPr>
          </w:p>
        </w:tc>
        <w:tc>
          <w:tcPr>
            <w:tcW w:w="435" w:type="dxa"/>
            <w:shd w:val="clear" w:color="000000" w:fill="FFFFFF"/>
            <w:vAlign w:val="center"/>
          </w:tcPr>
          <w:p>
            <w:pPr>
              <w:widowControl/>
              <w:jc w:val="center"/>
              <w:rPr>
                <w:rFonts w:hint="eastAsia" w:ascii="宋体" w:hAnsi="宋体" w:eastAsia="宋体" w:cs="宋体"/>
                <w:kern w:val="0"/>
                <w:sz w:val="21"/>
                <w:szCs w:val="21"/>
                <w:lang w:val="en-US" w:eastAsia="zh-CN" w:bidi="ar-SA"/>
              </w:rPr>
            </w:pPr>
          </w:p>
        </w:tc>
        <w:tc>
          <w:tcPr>
            <w:tcW w:w="637" w:type="dxa"/>
            <w:shd w:val="clear" w:color="000000" w:fill="FFFFFF"/>
            <w:vAlign w:val="center"/>
          </w:tcPr>
          <w:p>
            <w:pPr>
              <w:widowControl/>
              <w:jc w:val="center"/>
              <w:rPr>
                <w:rFonts w:hint="eastAsia" w:ascii="宋体" w:hAnsi="宋体" w:eastAsia="宋体" w:cs="宋体"/>
                <w:kern w:val="0"/>
                <w:sz w:val="21"/>
                <w:szCs w:val="21"/>
                <w:lang w:val="en-US" w:eastAsia="zh-CN" w:bidi="ar-SA"/>
              </w:rPr>
            </w:pPr>
          </w:p>
        </w:tc>
        <w:tc>
          <w:tcPr>
            <w:tcW w:w="637" w:type="dxa"/>
            <w:shd w:val="clear" w:color="000000" w:fill="FFFFFF"/>
            <w:vAlign w:val="center"/>
          </w:tcPr>
          <w:p>
            <w:pPr>
              <w:widowControl/>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其他专业课</w:t>
            </w:r>
          </w:p>
        </w:tc>
        <w:tc>
          <w:tcPr>
            <w:tcW w:w="42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855" w:type="dxa"/>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rPr>
              <w:t>0502</w:t>
            </w:r>
            <w:r>
              <w:rPr>
                <w:rFonts w:hint="eastAsia" w:ascii="宋体" w:hAnsi="宋体" w:eastAsia="宋体" w:cs="宋体"/>
                <w:kern w:val="0"/>
                <w:szCs w:val="21"/>
                <w:lang w:val="en-US" w:eastAsia="zh-CN"/>
              </w:rPr>
              <w:t>10</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农药残留检验</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05021</w:t>
            </w:r>
            <w:r>
              <w:rPr>
                <w:rFonts w:hint="eastAsia" w:ascii="宋体" w:hAnsi="宋体" w:eastAsia="宋体" w:cs="宋体"/>
                <w:kern w:val="0"/>
                <w:szCs w:val="21"/>
                <w:lang w:val="en-US" w:eastAsia="zh-CN"/>
              </w:rPr>
              <w:t>1</w:t>
            </w:r>
          </w:p>
        </w:tc>
        <w:tc>
          <w:tcPr>
            <w:tcW w:w="942" w:type="dxa"/>
            <w:shd w:val="clear" w:color="auto" w:fill="auto"/>
            <w:vAlign w:val="center"/>
          </w:tcPr>
          <w:p>
            <w:pPr>
              <w:widowControl/>
              <w:jc w:val="left"/>
              <w:rPr>
                <w:rFonts w:ascii="宋体" w:hAnsi="宋体" w:eastAsia="宋体" w:cs="宋体"/>
                <w:kern w:val="0"/>
                <w:szCs w:val="21"/>
              </w:rPr>
            </w:pPr>
            <w:r>
              <w:rPr>
                <w:rFonts w:ascii="宋体" w:hAnsi="宋体" w:eastAsia="宋体" w:cs="宋体"/>
                <w:color w:val="000000" w:themeColor="text1"/>
                <w:kern w:val="0"/>
                <w:szCs w:val="21"/>
                <w:lang w:bidi="ar"/>
                <w14:textFill>
                  <w14:solidFill>
                    <w14:schemeClr w14:val="tx1"/>
                  </w14:solidFill>
                </w14:textFill>
              </w:rPr>
              <w:t>食品安全快速检测技术</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05021</w:t>
            </w:r>
            <w:r>
              <w:rPr>
                <w:rFonts w:hint="eastAsia" w:ascii="宋体" w:hAnsi="宋体" w:eastAsia="宋体" w:cs="宋体"/>
                <w:kern w:val="0"/>
                <w:szCs w:val="21"/>
                <w:lang w:val="en-US" w:eastAsia="zh-CN"/>
              </w:rPr>
              <w:t>2</w:t>
            </w:r>
          </w:p>
        </w:tc>
        <w:tc>
          <w:tcPr>
            <w:tcW w:w="942" w:type="dxa"/>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食品感官鉴定与理化检验</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36</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223" w:type="dxa"/>
            <w:gridSpan w:val="3"/>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其他专业课小计</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16</w:t>
            </w:r>
          </w:p>
        </w:tc>
        <w:tc>
          <w:tcPr>
            <w:tcW w:w="640" w:type="dxa"/>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2</w:t>
            </w:r>
            <w:r>
              <w:rPr>
                <w:rFonts w:hint="eastAsia" w:ascii="宋体" w:hAnsi="宋体" w:eastAsia="宋体" w:cs="宋体"/>
                <w:b/>
                <w:bCs/>
                <w:kern w:val="0"/>
                <w:szCs w:val="21"/>
                <w:lang w:val="en-US" w:eastAsia="zh-CN"/>
              </w:rPr>
              <w:t>80</w:t>
            </w:r>
          </w:p>
        </w:tc>
        <w:tc>
          <w:tcPr>
            <w:tcW w:w="640" w:type="dxa"/>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1</w:t>
            </w:r>
            <w:r>
              <w:rPr>
                <w:rFonts w:hint="eastAsia" w:ascii="宋体" w:hAnsi="宋体" w:eastAsia="宋体" w:cs="宋体"/>
                <w:b/>
                <w:bCs/>
                <w:kern w:val="0"/>
                <w:szCs w:val="21"/>
                <w:lang w:val="en-US" w:eastAsia="zh-CN"/>
              </w:rPr>
              <w:t>40</w:t>
            </w:r>
          </w:p>
        </w:tc>
        <w:tc>
          <w:tcPr>
            <w:tcW w:w="640" w:type="dxa"/>
            <w:shd w:val="clear" w:color="auto" w:fill="auto"/>
            <w:vAlign w:val="center"/>
          </w:tcPr>
          <w:p>
            <w:pPr>
              <w:widowControl/>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1</w:t>
            </w:r>
            <w:r>
              <w:rPr>
                <w:rFonts w:hint="eastAsia" w:ascii="宋体" w:hAnsi="宋体" w:eastAsia="宋体" w:cs="宋体"/>
                <w:b/>
                <w:bCs/>
                <w:kern w:val="0"/>
                <w:szCs w:val="21"/>
                <w:lang w:val="en-US" w:eastAsia="zh-CN"/>
              </w:rPr>
              <w:t>40</w:t>
            </w:r>
          </w:p>
        </w:tc>
        <w:tc>
          <w:tcPr>
            <w:tcW w:w="951"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26"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31"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5"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实习实训课</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05021</w:t>
            </w:r>
            <w:r>
              <w:rPr>
                <w:rFonts w:hint="eastAsia" w:ascii="宋体" w:hAnsi="宋体" w:eastAsia="宋体" w:cs="宋体"/>
                <w:kern w:val="0"/>
                <w:szCs w:val="21"/>
                <w:lang w:val="en-US" w:eastAsia="zh-CN"/>
              </w:rPr>
              <w:t>3</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粮农食品安全“1+X”职业等级评价证书考核</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53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640"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951"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26"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31"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5"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2/11</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05021</w:t>
            </w:r>
            <w:r>
              <w:rPr>
                <w:rFonts w:hint="eastAsia" w:ascii="宋体" w:hAnsi="宋体" w:eastAsia="宋体" w:cs="宋体"/>
                <w:kern w:val="0"/>
                <w:szCs w:val="21"/>
                <w:lang w:val="en-US" w:eastAsia="zh-CN"/>
              </w:rPr>
              <w:t>4</w:t>
            </w:r>
          </w:p>
        </w:tc>
        <w:tc>
          <w:tcPr>
            <w:tcW w:w="942" w:type="dxa"/>
            <w:shd w:val="clear" w:color="auto" w:fill="auto"/>
            <w:vAlign w:val="center"/>
          </w:tcPr>
          <w:p>
            <w:pPr>
              <w:widowControl/>
              <w:jc w:val="left"/>
              <w:rPr>
                <w:rFonts w:ascii="宋体" w:hAnsi="宋体" w:eastAsia="宋体" w:cs="宋体"/>
                <w:color w:val="FF0000"/>
                <w:kern w:val="0"/>
                <w:szCs w:val="21"/>
              </w:rPr>
            </w:pPr>
            <w:r>
              <w:rPr>
                <w:rFonts w:hint="eastAsia" w:ascii="宋体" w:hAnsi="宋体" w:eastAsia="宋体" w:cs="宋体"/>
                <w:color w:val="FF0000"/>
                <w:kern w:val="0"/>
                <w:szCs w:val="21"/>
              </w:rPr>
              <w:t>综合实训（微生物检验实训，基础化学检验实训，相关检验实训）</w:t>
            </w:r>
          </w:p>
        </w:tc>
        <w:tc>
          <w:tcPr>
            <w:tcW w:w="426"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741"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5</w:t>
            </w:r>
          </w:p>
        </w:tc>
        <w:tc>
          <w:tcPr>
            <w:tcW w:w="534" w:type="dxa"/>
            <w:shd w:val="clear" w:color="auto" w:fill="auto"/>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2</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32</w:t>
            </w:r>
          </w:p>
        </w:tc>
        <w:tc>
          <w:tcPr>
            <w:tcW w:w="640"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0</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32</w:t>
            </w:r>
          </w:p>
        </w:tc>
        <w:tc>
          <w:tcPr>
            <w:tcW w:w="951" w:type="dxa"/>
            <w:shd w:val="clear" w:color="000000" w:fill="FFFFFF"/>
            <w:vAlign w:val="center"/>
          </w:tcPr>
          <w:p>
            <w:pPr>
              <w:widowControl/>
              <w:jc w:val="center"/>
              <w:rPr>
                <w:rFonts w:ascii="宋体" w:hAnsi="宋体" w:eastAsia="宋体" w:cs="宋体"/>
                <w:b/>
                <w:bCs/>
                <w:color w:val="FF0000"/>
                <w:kern w:val="0"/>
                <w:szCs w:val="21"/>
              </w:rPr>
            </w:pPr>
            <w:r>
              <w:rPr>
                <w:rFonts w:hint="eastAsia" w:ascii="宋体" w:hAnsi="宋体" w:eastAsia="宋体" w:cs="宋体"/>
                <w:b/>
                <w:bCs/>
                <w:color w:val="FF0000"/>
                <w:kern w:val="0"/>
                <w:szCs w:val="21"/>
              </w:rPr>
              <w:t>　</w:t>
            </w:r>
          </w:p>
        </w:tc>
        <w:tc>
          <w:tcPr>
            <w:tcW w:w="426" w:type="dxa"/>
            <w:shd w:val="clear" w:color="000000" w:fill="FFFFFF"/>
            <w:vAlign w:val="center"/>
          </w:tcPr>
          <w:p>
            <w:pPr>
              <w:widowControl/>
              <w:jc w:val="center"/>
              <w:rPr>
                <w:rFonts w:ascii="宋体" w:hAnsi="宋体" w:eastAsia="宋体" w:cs="宋体"/>
                <w:b/>
                <w:bCs/>
                <w:color w:val="FF0000"/>
                <w:kern w:val="0"/>
                <w:szCs w:val="21"/>
              </w:rPr>
            </w:pPr>
            <w:r>
              <w:rPr>
                <w:rFonts w:hint="eastAsia" w:ascii="宋体" w:hAnsi="宋体" w:eastAsia="宋体" w:cs="宋体"/>
                <w:b/>
                <w:bCs/>
                <w:color w:val="FF0000"/>
                <w:kern w:val="0"/>
                <w:szCs w:val="21"/>
              </w:rPr>
              <w:t>　</w:t>
            </w:r>
          </w:p>
        </w:tc>
        <w:tc>
          <w:tcPr>
            <w:tcW w:w="531" w:type="dxa"/>
            <w:shd w:val="clear" w:color="000000" w:fill="FFFFFF"/>
            <w:vAlign w:val="center"/>
          </w:tcPr>
          <w:p>
            <w:pPr>
              <w:widowControl/>
              <w:jc w:val="center"/>
              <w:rPr>
                <w:rFonts w:ascii="宋体" w:hAnsi="宋体" w:eastAsia="宋体" w:cs="宋体"/>
                <w:b/>
                <w:bCs/>
                <w:color w:val="FF0000"/>
                <w:kern w:val="0"/>
                <w:szCs w:val="21"/>
              </w:rPr>
            </w:pPr>
            <w:r>
              <w:rPr>
                <w:rFonts w:hint="eastAsia" w:ascii="宋体" w:hAnsi="宋体" w:eastAsia="宋体" w:cs="宋体"/>
                <w:b/>
                <w:bCs/>
                <w:color w:val="FF0000"/>
                <w:kern w:val="0"/>
                <w:szCs w:val="21"/>
              </w:rPr>
              <w:t>　</w:t>
            </w:r>
          </w:p>
        </w:tc>
        <w:tc>
          <w:tcPr>
            <w:tcW w:w="435" w:type="dxa"/>
            <w:shd w:val="clear" w:color="000000" w:fill="FFFFFF"/>
            <w:vAlign w:val="center"/>
          </w:tcPr>
          <w:p>
            <w:pPr>
              <w:widowControl/>
              <w:jc w:val="center"/>
              <w:rPr>
                <w:rFonts w:ascii="宋体" w:hAnsi="宋体" w:eastAsia="宋体" w:cs="宋体"/>
                <w:b/>
                <w:bCs/>
                <w:color w:val="FF0000"/>
                <w:kern w:val="0"/>
                <w:szCs w:val="21"/>
              </w:rPr>
            </w:pPr>
            <w:r>
              <w:rPr>
                <w:rFonts w:hint="eastAsia" w:ascii="宋体" w:hAnsi="宋体" w:eastAsia="宋体" w:cs="宋体"/>
                <w:b/>
                <w:bCs/>
                <w:color w:val="FF0000"/>
                <w:kern w:val="0"/>
                <w:szCs w:val="21"/>
              </w:rPr>
              <w:t>　</w:t>
            </w:r>
          </w:p>
        </w:tc>
        <w:tc>
          <w:tcPr>
            <w:tcW w:w="637"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4周</w:t>
            </w:r>
          </w:p>
        </w:tc>
        <w:tc>
          <w:tcPr>
            <w:tcW w:w="637" w:type="dxa"/>
            <w:shd w:val="clear" w:color="000000" w:fill="FFFFFF"/>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05021</w:t>
            </w:r>
            <w:r>
              <w:rPr>
                <w:rFonts w:hint="eastAsia" w:ascii="宋体" w:hAnsi="宋体" w:eastAsia="宋体" w:cs="宋体"/>
                <w:kern w:val="0"/>
                <w:szCs w:val="21"/>
                <w:lang w:val="en-US" w:eastAsia="zh-CN"/>
              </w:rPr>
              <w:t>5</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毕业设计（论文）</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c>
          <w:tcPr>
            <w:tcW w:w="951"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26"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531"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35"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3周</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05021</w:t>
            </w:r>
            <w:r>
              <w:rPr>
                <w:rFonts w:hint="eastAsia" w:ascii="宋体" w:hAnsi="宋体" w:eastAsia="宋体" w:cs="宋体"/>
                <w:kern w:val="0"/>
                <w:szCs w:val="21"/>
                <w:lang w:val="en-US" w:eastAsia="zh-CN"/>
              </w:rPr>
              <w:t>6</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顶岗实习</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510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510</w:t>
            </w:r>
          </w:p>
        </w:tc>
        <w:tc>
          <w:tcPr>
            <w:tcW w:w="951"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26"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531"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35"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223" w:type="dxa"/>
            <w:gridSpan w:val="3"/>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实习实训课小计</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4"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24</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684</w:t>
            </w:r>
          </w:p>
        </w:tc>
        <w:tc>
          <w:tcPr>
            <w:tcW w:w="64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10</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674</w:t>
            </w:r>
          </w:p>
        </w:tc>
        <w:tc>
          <w:tcPr>
            <w:tcW w:w="951"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26"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531"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35"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637" w:type="dxa"/>
            <w:shd w:val="clear" w:color="000000" w:fill="FFFFFF"/>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6" w:type="dxa"/>
            <w:vMerge w:val="continue"/>
            <w:vAlign w:val="center"/>
          </w:tcPr>
          <w:p>
            <w:pPr>
              <w:widowControl/>
              <w:jc w:val="left"/>
              <w:rPr>
                <w:rFonts w:ascii="宋体" w:hAnsi="宋体" w:eastAsia="宋体" w:cs="宋体"/>
                <w:kern w:val="0"/>
                <w:szCs w:val="21"/>
              </w:rPr>
            </w:pPr>
          </w:p>
        </w:tc>
        <w:tc>
          <w:tcPr>
            <w:tcW w:w="2649" w:type="dxa"/>
            <w:gridSpan w:val="4"/>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专业必修课小计</w:t>
            </w:r>
          </w:p>
        </w:tc>
        <w:tc>
          <w:tcPr>
            <w:tcW w:w="42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4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4"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72</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15</w:t>
            </w:r>
            <w:r>
              <w:rPr>
                <w:rFonts w:hint="eastAsia" w:ascii="宋体" w:hAnsi="宋体" w:eastAsia="宋体" w:cs="宋体"/>
                <w:b/>
                <w:bCs/>
                <w:color w:val="000000" w:themeColor="text1"/>
                <w:kern w:val="0"/>
                <w:szCs w:val="21"/>
                <w:lang w:val="en-US" w:eastAsia="zh-CN"/>
                <w14:textFill>
                  <w14:solidFill>
                    <w14:schemeClr w14:val="tx1"/>
                  </w14:solidFill>
                </w14:textFill>
              </w:rPr>
              <w:t>08</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422</w:t>
            </w:r>
          </w:p>
        </w:tc>
        <w:tc>
          <w:tcPr>
            <w:tcW w:w="640" w:type="dxa"/>
            <w:shd w:val="clear" w:color="auto" w:fill="auto"/>
            <w:vAlign w:val="center"/>
          </w:tcPr>
          <w:p>
            <w:pPr>
              <w:widowControl/>
              <w:jc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1086</w:t>
            </w:r>
          </w:p>
        </w:tc>
        <w:tc>
          <w:tcPr>
            <w:tcW w:w="951"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26"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531"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5"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637" w:type="dxa"/>
            <w:shd w:val="clear" w:color="000000" w:fill="FFFFFF"/>
            <w:vAlign w:val="center"/>
          </w:tcPr>
          <w:p>
            <w:pPr>
              <w:widowControl/>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　</w:t>
            </w:r>
          </w:p>
        </w:tc>
        <w:tc>
          <w:tcPr>
            <w:tcW w:w="637" w:type="dxa"/>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选修课</w:t>
            </w: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公共选修课</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5"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GX0001</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GX0002</w:t>
            </w:r>
          </w:p>
        </w:tc>
        <w:tc>
          <w:tcPr>
            <w:tcW w:w="942"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史学类（开设党史、国史等）</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0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435"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GX0003</w:t>
            </w:r>
          </w:p>
        </w:tc>
        <w:tc>
          <w:tcPr>
            <w:tcW w:w="942"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马克思主义中国化进程与青年学生使命担当</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GX0004</w:t>
            </w:r>
          </w:p>
        </w:tc>
        <w:tc>
          <w:tcPr>
            <w:tcW w:w="942"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职业礼仪</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5"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GX0005</w:t>
            </w:r>
          </w:p>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GX0006</w:t>
            </w:r>
          </w:p>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GX0007</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GX0008</w:t>
            </w:r>
          </w:p>
        </w:tc>
        <w:tc>
          <w:tcPr>
            <w:tcW w:w="942"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公共艺术类（开设影视鉴赏、书法鉴赏、美术鉴赏、字体设计等）</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GX0009</w:t>
            </w:r>
          </w:p>
        </w:tc>
        <w:tc>
          <w:tcPr>
            <w:tcW w:w="942"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中华优秀传统文化</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64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2/11</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223" w:type="dxa"/>
            <w:gridSpan w:val="3"/>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公共选修课需达到6学分</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4" w:type="dxa"/>
            <w:shd w:val="clear" w:color="auto" w:fill="auto"/>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lang w:val="en-US" w:eastAsia="zh-CN"/>
              </w:rPr>
              <w:t>6</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rPr>
              <w:t>1</w:t>
            </w:r>
            <w:r>
              <w:rPr>
                <w:rFonts w:hint="eastAsia" w:ascii="宋体" w:hAnsi="宋体" w:eastAsia="宋体" w:cs="宋体"/>
                <w:b/>
                <w:bCs/>
                <w:color w:val="000000"/>
                <w:kern w:val="0"/>
                <w:szCs w:val="21"/>
                <w:lang w:val="en-US" w:eastAsia="zh-CN"/>
              </w:rPr>
              <w:t>10</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rPr>
              <w:t>1</w:t>
            </w:r>
            <w:r>
              <w:rPr>
                <w:rFonts w:hint="eastAsia" w:ascii="宋体" w:hAnsi="宋体" w:eastAsia="宋体" w:cs="宋体"/>
                <w:b/>
                <w:bCs/>
                <w:color w:val="000000"/>
                <w:kern w:val="0"/>
                <w:szCs w:val="21"/>
                <w:lang w:val="en-US" w:eastAsia="zh-CN"/>
              </w:rPr>
              <w:t>04</w:t>
            </w:r>
          </w:p>
        </w:tc>
        <w:tc>
          <w:tcPr>
            <w:tcW w:w="64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6</w:t>
            </w:r>
          </w:p>
        </w:tc>
        <w:tc>
          <w:tcPr>
            <w:tcW w:w="951"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26"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531"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435"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637" w:type="dxa"/>
            <w:shd w:val="clear" w:color="000000" w:fill="FFFFFF"/>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专业选修课</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05021</w:t>
            </w:r>
            <w:r>
              <w:rPr>
                <w:rFonts w:hint="eastAsia" w:ascii="宋体" w:hAnsi="宋体" w:eastAsia="宋体" w:cs="宋体"/>
                <w:kern w:val="0"/>
                <w:szCs w:val="21"/>
                <w:lang w:val="en-US" w:eastAsia="zh-CN"/>
              </w:rPr>
              <w:t>7</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果蔬贮藏与加工技术</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534"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72</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435"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5" w:type="dxa"/>
            <w:shd w:val="clear" w:color="auto" w:fill="auto"/>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rPr>
              <w:t>05021</w:t>
            </w:r>
            <w:r>
              <w:rPr>
                <w:rFonts w:hint="eastAsia" w:ascii="宋体" w:hAnsi="宋体" w:eastAsia="宋体" w:cs="宋体"/>
                <w:color w:val="FF0000"/>
                <w:kern w:val="0"/>
                <w:szCs w:val="21"/>
                <w:lang w:val="en-US" w:eastAsia="zh-CN"/>
              </w:rPr>
              <w:t>8</w:t>
            </w:r>
          </w:p>
        </w:tc>
        <w:tc>
          <w:tcPr>
            <w:tcW w:w="942" w:type="dxa"/>
            <w:shd w:val="clear" w:color="auto" w:fill="auto"/>
            <w:vAlign w:val="center"/>
          </w:tcPr>
          <w:p>
            <w:pPr>
              <w:widowControl/>
              <w:jc w:val="left"/>
              <w:rPr>
                <w:rFonts w:ascii="宋体" w:hAnsi="宋体" w:eastAsia="宋体" w:cs="宋体"/>
                <w:color w:val="FF0000"/>
                <w:kern w:val="0"/>
                <w:szCs w:val="21"/>
              </w:rPr>
            </w:pPr>
            <w:r>
              <w:rPr>
                <w:rFonts w:hint="eastAsia" w:ascii="宋体" w:hAnsi="宋体" w:eastAsia="宋体" w:cs="宋体"/>
                <w:color w:val="FF0000"/>
                <w:kern w:val="0"/>
                <w:szCs w:val="21"/>
              </w:rPr>
              <w:t>发酵食品加工技术</w:t>
            </w:r>
          </w:p>
        </w:tc>
        <w:tc>
          <w:tcPr>
            <w:tcW w:w="426"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741"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3</w:t>
            </w:r>
          </w:p>
        </w:tc>
        <w:tc>
          <w:tcPr>
            <w:tcW w:w="534" w:type="dxa"/>
            <w:shd w:val="clear" w:color="auto" w:fill="auto"/>
            <w:vAlign w:val="center"/>
          </w:tcPr>
          <w:p>
            <w:pPr>
              <w:widowControl/>
              <w:jc w:val="center"/>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4</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72</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36</w:t>
            </w:r>
          </w:p>
        </w:tc>
        <w:tc>
          <w:tcPr>
            <w:tcW w:w="951"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426"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531" w:type="dxa"/>
            <w:shd w:val="clear" w:color="000000" w:fill="FFFFFF"/>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4</w:t>
            </w:r>
          </w:p>
        </w:tc>
        <w:tc>
          <w:tcPr>
            <w:tcW w:w="435"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637"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637"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5" w:type="dxa"/>
            <w:shd w:val="clear" w:color="auto" w:fill="auto"/>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rPr>
              <w:t>05021</w:t>
            </w:r>
            <w:r>
              <w:rPr>
                <w:rFonts w:hint="eastAsia" w:ascii="宋体" w:hAnsi="宋体" w:eastAsia="宋体" w:cs="宋体"/>
                <w:color w:val="FF0000"/>
                <w:kern w:val="0"/>
                <w:szCs w:val="21"/>
                <w:lang w:val="en-US" w:eastAsia="zh-CN"/>
              </w:rPr>
              <w:t>9</w:t>
            </w:r>
          </w:p>
        </w:tc>
        <w:tc>
          <w:tcPr>
            <w:tcW w:w="942" w:type="dxa"/>
            <w:shd w:val="clear" w:color="auto" w:fill="auto"/>
            <w:vAlign w:val="center"/>
          </w:tcPr>
          <w:p>
            <w:pPr>
              <w:widowControl/>
              <w:jc w:val="left"/>
              <w:rPr>
                <w:rFonts w:ascii="宋体" w:hAnsi="宋体" w:eastAsia="宋体" w:cs="宋体"/>
                <w:color w:val="FF0000"/>
                <w:kern w:val="0"/>
                <w:szCs w:val="21"/>
              </w:rPr>
            </w:pPr>
            <w:r>
              <w:rPr>
                <w:rFonts w:hint="eastAsia" w:ascii="宋体" w:hAnsi="宋体" w:eastAsia="宋体" w:cs="宋体"/>
                <w:color w:val="FF0000"/>
                <w:kern w:val="0"/>
                <w:szCs w:val="21"/>
              </w:rPr>
              <w:t>软饮料加工技术与开发</w:t>
            </w:r>
          </w:p>
        </w:tc>
        <w:tc>
          <w:tcPr>
            <w:tcW w:w="426"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741"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3</w:t>
            </w:r>
          </w:p>
        </w:tc>
        <w:tc>
          <w:tcPr>
            <w:tcW w:w="534" w:type="dxa"/>
            <w:shd w:val="clear" w:color="auto" w:fill="auto"/>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4</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72</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36</w:t>
            </w:r>
          </w:p>
        </w:tc>
        <w:tc>
          <w:tcPr>
            <w:tcW w:w="951"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426"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531" w:type="dxa"/>
            <w:shd w:val="clear" w:color="000000" w:fill="FFFFFF"/>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4</w:t>
            </w:r>
          </w:p>
        </w:tc>
        <w:tc>
          <w:tcPr>
            <w:tcW w:w="435"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637"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637"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55" w:type="dxa"/>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rPr>
              <w:t>0502</w:t>
            </w:r>
            <w:r>
              <w:rPr>
                <w:rFonts w:hint="eastAsia" w:ascii="宋体" w:hAnsi="宋体" w:eastAsia="宋体" w:cs="宋体"/>
                <w:color w:val="FF0000"/>
                <w:kern w:val="0"/>
                <w:szCs w:val="21"/>
                <w:lang w:val="en-US" w:eastAsia="zh-CN"/>
              </w:rPr>
              <w:t>20</w:t>
            </w:r>
          </w:p>
        </w:tc>
        <w:tc>
          <w:tcPr>
            <w:tcW w:w="942" w:type="dxa"/>
            <w:shd w:val="clear" w:color="auto" w:fill="auto"/>
            <w:vAlign w:val="center"/>
          </w:tcPr>
          <w:p>
            <w:pPr>
              <w:widowControl/>
              <w:jc w:val="left"/>
              <w:rPr>
                <w:rFonts w:ascii="宋体" w:hAnsi="宋体" w:eastAsia="宋体" w:cs="宋体"/>
                <w:color w:val="FF0000"/>
                <w:kern w:val="0"/>
                <w:szCs w:val="21"/>
              </w:rPr>
            </w:pPr>
            <w:r>
              <w:rPr>
                <w:rFonts w:hint="eastAsia" w:ascii="宋体" w:hAnsi="宋体" w:eastAsia="宋体" w:cs="宋体"/>
                <w:color w:val="FF0000"/>
                <w:kern w:val="0"/>
                <w:szCs w:val="21"/>
              </w:rPr>
              <w:t>乳制品加工技术与开发</w:t>
            </w:r>
          </w:p>
        </w:tc>
        <w:tc>
          <w:tcPr>
            <w:tcW w:w="426"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741" w:type="dxa"/>
            <w:shd w:val="clear" w:color="auto" w:fill="auto"/>
            <w:vAlign w:val="center"/>
          </w:tcPr>
          <w:p>
            <w:pPr>
              <w:widowControl/>
              <w:jc w:val="center"/>
              <w:rPr>
                <w:rFonts w:hint="eastAsia" w:ascii="宋体" w:hAnsi="宋体" w:eastAsia="宋体" w:cs="宋体"/>
                <w:color w:val="FF0000"/>
                <w:kern w:val="0"/>
                <w:szCs w:val="21"/>
                <w:lang w:eastAsia="zh-CN"/>
              </w:rPr>
            </w:pPr>
            <w:r>
              <w:rPr>
                <w:rFonts w:hint="eastAsia" w:ascii="宋体" w:hAnsi="宋体" w:eastAsia="宋体" w:cs="宋体"/>
                <w:color w:val="FF0000"/>
                <w:kern w:val="0"/>
                <w:szCs w:val="21"/>
                <w:lang w:val="en-US" w:eastAsia="zh-CN"/>
              </w:rPr>
              <w:t>3</w:t>
            </w:r>
          </w:p>
        </w:tc>
        <w:tc>
          <w:tcPr>
            <w:tcW w:w="534"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2</w:t>
            </w:r>
          </w:p>
        </w:tc>
        <w:tc>
          <w:tcPr>
            <w:tcW w:w="640"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36</w:t>
            </w:r>
          </w:p>
        </w:tc>
        <w:tc>
          <w:tcPr>
            <w:tcW w:w="640"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18</w:t>
            </w:r>
          </w:p>
        </w:tc>
        <w:tc>
          <w:tcPr>
            <w:tcW w:w="640" w:type="dxa"/>
            <w:shd w:val="clear" w:color="auto" w:fill="auto"/>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18</w:t>
            </w:r>
          </w:p>
        </w:tc>
        <w:tc>
          <w:tcPr>
            <w:tcW w:w="951"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426"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531" w:type="dxa"/>
            <w:shd w:val="clear" w:color="000000" w:fill="FFFFFF"/>
            <w:noWrap/>
            <w:vAlign w:val="center"/>
          </w:tcPr>
          <w:p>
            <w:pPr>
              <w:widowControl/>
              <w:jc w:val="left"/>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rPr>
              <w:t>　</w:t>
            </w:r>
            <w:r>
              <w:rPr>
                <w:rFonts w:hint="eastAsia" w:ascii="宋体" w:hAnsi="宋体" w:eastAsia="宋体" w:cs="宋体"/>
                <w:color w:val="FF0000"/>
                <w:kern w:val="0"/>
                <w:szCs w:val="21"/>
                <w:lang w:val="en-US" w:eastAsia="zh-CN"/>
              </w:rPr>
              <w:t>2</w:t>
            </w:r>
          </w:p>
        </w:tc>
        <w:tc>
          <w:tcPr>
            <w:tcW w:w="435" w:type="dxa"/>
            <w:shd w:val="clear" w:color="000000" w:fill="FFFFFF"/>
            <w:vAlign w:val="center"/>
          </w:tcPr>
          <w:p>
            <w:pPr>
              <w:widowControl/>
              <w:jc w:val="center"/>
              <w:rPr>
                <w:rFonts w:ascii="宋体" w:hAnsi="宋体" w:eastAsia="宋体" w:cs="宋体"/>
                <w:color w:val="FF0000"/>
                <w:kern w:val="0"/>
                <w:szCs w:val="21"/>
              </w:rPr>
            </w:pPr>
          </w:p>
        </w:tc>
        <w:tc>
          <w:tcPr>
            <w:tcW w:w="637"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637" w:type="dxa"/>
            <w:shd w:val="clear" w:color="000000" w:fill="FFFFFF"/>
            <w:vAlign w:val="center"/>
          </w:tcPr>
          <w:p>
            <w:pPr>
              <w:widowControl/>
              <w:jc w:val="center"/>
              <w:rPr>
                <w:rFonts w:ascii="宋体" w:hAnsi="宋体" w:eastAsia="宋体" w:cs="宋体"/>
                <w:color w:val="FF0000"/>
                <w:kern w:val="0"/>
                <w:szCs w:val="21"/>
              </w:rPr>
            </w:pPr>
            <w:r>
              <w:rPr>
                <w:rFonts w:hint="eastAsia" w:ascii="宋体" w:hAnsi="宋体" w:eastAsia="宋体" w:cs="宋体"/>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05022</w:t>
            </w:r>
            <w:r>
              <w:rPr>
                <w:rFonts w:hint="eastAsia" w:ascii="宋体" w:hAnsi="宋体" w:eastAsia="宋体" w:cs="宋体"/>
                <w:kern w:val="0"/>
                <w:szCs w:val="21"/>
                <w:lang w:val="en-US" w:eastAsia="zh-CN"/>
              </w:rPr>
              <w:t>1</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畜产品加工技术</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3</w:t>
            </w:r>
          </w:p>
        </w:tc>
        <w:tc>
          <w:tcPr>
            <w:tcW w:w="534"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72</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noWrap/>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4</w:t>
            </w:r>
          </w:p>
        </w:tc>
        <w:tc>
          <w:tcPr>
            <w:tcW w:w="435" w:type="dxa"/>
            <w:shd w:val="clear" w:color="000000" w:fill="FFFFFF"/>
            <w:vAlign w:val="center"/>
          </w:tcPr>
          <w:p>
            <w:pPr>
              <w:widowControl/>
              <w:jc w:val="center"/>
              <w:rPr>
                <w:rFonts w:ascii="宋体" w:hAnsi="宋体" w:eastAsia="宋体" w:cs="宋体"/>
                <w:color w:val="000000"/>
                <w:kern w:val="0"/>
                <w:szCs w:val="21"/>
              </w:rPr>
            </w:pP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05022</w:t>
            </w:r>
            <w:r>
              <w:rPr>
                <w:rFonts w:hint="eastAsia" w:ascii="宋体" w:hAnsi="宋体" w:eastAsia="宋体" w:cs="宋体"/>
                <w:kern w:val="0"/>
                <w:szCs w:val="21"/>
                <w:lang w:val="en-US" w:eastAsia="zh-CN"/>
              </w:rPr>
              <w:t>2</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焙烤食品加工技术与开发</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534"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72</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shd w:val="clear" w:color="000000" w:fill="FFFFFF"/>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4/11</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05022</w:t>
            </w:r>
            <w:r>
              <w:rPr>
                <w:rFonts w:hint="eastAsia" w:ascii="宋体" w:hAnsi="宋体" w:eastAsia="宋体" w:cs="宋体"/>
                <w:kern w:val="0"/>
                <w:szCs w:val="21"/>
                <w:lang w:val="en-US" w:eastAsia="zh-CN"/>
              </w:rPr>
              <w:t>3</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食品添加剂应用技术</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3</w:t>
            </w:r>
          </w:p>
        </w:tc>
        <w:tc>
          <w:tcPr>
            <w:tcW w:w="534"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18</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18</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shd w:val="clear" w:color="000000" w:fill="FFFFFF"/>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color w:val="000000"/>
                <w:kern w:val="0"/>
                <w:szCs w:val="21"/>
              </w:rPr>
            </w:pP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55" w:type="dxa"/>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05022</w:t>
            </w:r>
            <w:r>
              <w:rPr>
                <w:rFonts w:hint="eastAsia" w:ascii="宋体" w:hAnsi="宋体" w:eastAsia="宋体" w:cs="宋体"/>
                <w:kern w:val="0"/>
                <w:szCs w:val="21"/>
                <w:lang w:val="en-US" w:eastAsia="zh-CN"/>
              </w:rPr>
              <w:t>4</w:t>
            </w:r>
          </w:p>
        </w:tc>
        <w:tc>
          <w:tcPr>
            <w:tcW w:w="94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功能性食品开发与应用</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534"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72</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64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shd w:val="clear" w:color="000000" w:fill="FFFFFF"/>
            <w:noWrap/>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　</w:t>
            </w:r>
            <w:r>
              <w:rPr>
                <w:rFonts w:hint="eastAsia" w:ascii="宋体" w:hAnsi="宋体" w:eastAsia="宋体" w:cs="宋体"/>
                <w:color w:val="000000"/>
                <w:kern w:val="0"/>
                <w:szCs w:val="21"/>
                <w:lang w:val="en-US" w:eastAsia="zh-CN"/>
              </w:rPr>
              <w:t>4</w:t>
            </w:r>
          </w:p>
        </w:tc>
        <w:tc>
          <w:tcPr>
            <w:tcW w:w="637" w:type="dxa"/>
            <w:shd w:val="clear" w:color="000000" w:fill="FFFFFF"/>
            <w:vAlign w:val="center"/>
          </w:tcPr>
          <w:p>
            <w:pPr>
              <w:widowControl/>
              <w:jc w:val="center"/>
              <w:rPr>
                <w:rFonts w:ascii="宋体" w:hAnsi="宋体" w:eastAsia="宋体" w:cs="宋体"/>
                <w:color w:val="000000"/>
                <w:kern w:val="0"/>
                <w:szCs w:val="21"/>
              </w:rPr>
            </w:pP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p>
        </w:tc>
        <w:tc>
          <w:tcPr>
            <w:tcW w:w="855" w:type="dxa"/>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05022</w:t>
            </w:r>
            <w:r>
              <w:rPr>
                <w:rFonts w:hint="eastAsia" w:ascii="宋体" w:hAnsi="宋体" w:eastAsia="宋体" w:cs="宋体"/>
                <w:kern w:val="0"/>
                <w:szCs w:val="21"/>
                <w:lang w:val="en-US" w:eastAsia="zh-CN"/>
              </w:rPr>
              <w:t>5</w:t>
            </w:r>
          </w:p>
        </w:tc>
        <w:tc>
          <w:tcPr>
            <w:tcW w:w="942" w:type="dxa"/>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农产品物流管理</w:t>
            </w:r>
          </w:p>
        </w:tc>
        <w:tc>
          <w:tcPr>
            <w:tcW w:w="426" w:type="dxa"/>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741"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p>
        </w:tc>
        <w:tc>
          <w:tcPr>
            <w:tcW w:w="534"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16</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951"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426"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531"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435" w:type="dxa"/>
            <w:shd w:val="clear" w:color="000000" w:fill="FFFFFF"/>
            <w:noWrap/>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p>
        </w:tc>
        <w:tc>
          <w:tcPr>
            <w:tcW w:w="637" w:type="dxa"/>
            <w:shd w:val="clear" w:color="000000" w:fill="FFFFFF"/>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4周</w:t>
            </w:r>
          </w:p>
        </w:tc>
        <w:tc>
          <w:tcPr>
            <w:tcW w:w="637" w:type="dxa"/>
            <w:shd w:val="clear" w:color="000000" w:fill="FFFFFF"/>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426"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855" w:type="dxa"/>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05022</w:t>
            </w:r>
            <w:r>
              <w:rPr>
                <w:rFonts w:hint="eastAsia" w:ascii="宋体" w:hAnsi="宋体" w:eastAsia="宋体" w:cs="宋体"/>
                <w:kern w:val="0"/>
                <w:szCs w:val="21"/>
                <w:lang w:val="en-US" w:eastAsia="zh-CN"/>
              </w:rPr>
              <w:t>6</w:t>
            </w:r>
          </w:p>
        </w:tc>
        <w:tc>
          <w:tcPr>
            <w:tcW w:w="942" w:type="dxa"/>
            <w:shd w:val="clear" w:color="auto" w:fill="auto"/>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企业管理</w:t>
            </w:r>
          </w:p>
        </w:tc>
        <w:tc>
          <w:tcPr>
            <w:tcW w:w="426" w:type="dxa"/>
            <w:shd w:val="clear" w:color="auto" w:fill="auto"/>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741"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p>
        </w:tc>
        <w:tc>
          <w:tcPr>
            <w:tcW w:w="534"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16</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640" w:type="dxa"/>
            <w:shd w:val="clear" w:color="auto" w:fill="auto"/>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951"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426"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531" w:type="dxa"/>
            <w:shd w:val="clear" w:color="000000" w:fill="FFFFFF"/>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p>
        </w:tc>
        <w:tc>
          <w:tcPr>
            <w:tcW w:w="435" w:type="dxa"/>
            <w:shd w:val="clear" w:color="000000" w:fill="FFFFFF"/>
            <w:noWrap/>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p>
        </w:tc>
        <w:tc>
          <w:tcPr>
            <w:tcW w:w="637" w:type="dxa"/>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4周</w:t>
            </w:r>
          </w:p>
        </w:tc>
        <w:tc>
          <w:tcPr>
            <w:tcW w:w="637" w:type="dxa"/>
            <w:shd w:val="clear" w:color="000000" w:fill="FFFFFF"/>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426" w:type="dxa"/>
            <w:vMerge w:val="continue"/>
            <w:vAlign w:val="center"/>
          </w:tcPr>
          <w:p>
            <w:pPr>
              <w:widowControl/>
              <w:jc w:val="left"/>
              <w:rPr>
                <w:rFonts w:ascii="宋体" w:hAnsi="宋体" w:eastAsia="宋体" w:cs="宋体"/>
                <w:kern w:val="0"/>
                <w:szCs w:val="21"/>
              </w:rPr>
            </w:pPr>
          </w:p>
        </w:tc>
        <w:tc>
          <w:tcPr>
            <w:tcW w:w="2223" w:type="dxa"/>
            <w:gridSpan w:val="3"/>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专业选修课需达到10学分</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4"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10</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356</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178</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178</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FF0000"/>
                <w:kern w:val="0"/>
                <w:szCs w:val="21"/>
              </w:rPr>
              <w:t>专业选修课课时根据实际选课情况，计248~3</w:t>
            </w:r>
            <w:r>
              <w:rPr>
                <w:rFonts w:hint="eastAsia" w:ascii="宋体" w:hAnsi="宋体" w:eastAsia="宋体" w:cs="宋体"/>
                <w:color w:val="FF0000"/>
                <w:kern w:val="0"/>
                <w:szCs w:val="21"/>
                <w:lang w:val="en-US" w:eastAsia="zh-CN"/>
              </w:rPr>
              <w:t>56</w:t>
            </w:r>
            <w:r>
              <w:rPr>
                <w:rFonts w:hint="eastAsia" w:ascii="宋体" w:hAnsi="宋体" w:eastAsia="宋体" w:cs="宋体"/>
                <w:color w:val="FF0000"/>
                <w:kern w:val="0"/>
                <w:szCs w:val="21"/>
              </w:rPr>
              <w:t>学时</w:t>
            </w: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6" w:type="dxa"/>
            <w:vMerge w:val="continue"/>
            <w:vAlign w:val="center"/>
          </w:tcPr>
          <w:p>
            <w:pPr>
              <w:widowControl/>
              <w:jc w:val="left"/>
              <w:rPr>
                <w:rFonts w:ascii="宋体" w:hAnsi="宋体" w:eastAsia="宋体" w:cs="宋体"/>
                <w:kern w:val="0"/>
                <w:szCs w:val="21"/>
              </w:rPr>
            </w:pPr>
          </w:p>
        </w:tc>
        <w:tc>
          <w:tcPr>
            <w:tcW w:w="2649" w:type="dxa"/>
            <w:gridSpan w:val="4"/>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选修课小计</w:t>
            </w:r>
          </w:p>
        </w:tc>
        <w:tc>
          <w:tcPr>
            <w:tcW w:w="42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4" w:type="dxa"/>
            <w:shd w:val="clear" w:color="auto" w:fill="auto"/>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1</w:t>
            </w:r>
            <w:r>
              <w:rPr>
                <w:rFonts w:hint="eastAsia" w:ascii="宋体" w:hAnsi="宋体" w:eastAsia="宋体" w:cs="宋体"/>
                <w:b/>
                <w:bCs/>
                <w:color w:val="000000"/>
                <w:kern w:val="0"/>
                <w:szCs w:val="21"/>
                <w:lang w:val="en-US" w:eastAsia="zh-CN"/>
              </w:rPr>
              <w:t>6</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466</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282</w:t>
            </w:r>
          </w:p>
        </w:tc>
        <w:tc>
          <w:tcPr>
            <w:tcW w:w="64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184</w:t>
            </w:r>
          </w:p>
        </w:tc>
        <w:tc>
          <w:tcPr>
            <w:tcW w:w="95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26"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1"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42" w:type="dxa"/>
            <w:gridSpan w:val="7"/>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总计</w:t>
            </w:r>
          </w:p>
        </w:tc>
        <w:tc>
          <w:tcPr>
            <w:tcW w:w="534" w:type="dxa"/>
            <w:shd w:val="clear" w:color="auto" w:fill="auto"/>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eastAsia="宋体" w:cs="宋体"/>
                <w:b/>
                <w:bCs/>
                <w:color w:val="FF0000"/>
                <w:kern w:val="0"/>
                <w:szCs w:val="21"/>
                <w:lang w:val="en-US" w:eastAsia="zh-CN"/>
              </w:rPr>
              <w:t>127</w:t>
            </w:r>
          </w:p>
        </w:tc>
        <w:tc>
          <w:tcPr>
            <w:tcW w:w="640" w:type="dxa"/>
            <w:shd w:val="clear" w:color="auto" w:fill="auto"/>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eastAsia="宋体" w:cs="宋体"/>
                <w:b/>
                <w:bCs/>
                <w:color w:val="FF0000"/>
                <w:kern w:val="0"/>
                <w:szCs w:val="21"/>
                <w:lang w:val="en-US" w:eastAsia="zh-CN"/>
              </w:rPr>
              <w:t>2830</w:t>
            </w:r>
          </w:p>
        </w:tc>
        <w:tc>
          <w:tcPr>
            <w:tcW w:w="640" w:type="dxa"/>
            <w:shd w:val="clear" w:color="auto" w:fill="auto"/>
            <w:vAlign w:val="center"/>
          </w:tcPr>
          <w:p>
            <w:pPr>
              <w:widowControl/>
              <w:jc w:val="center"/>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1182</w:t>
            </w:r>
          </w:p>
        </w:tc>
        <w:tc>
          <w:tcPr>
            <w:tcW w:w="640" w:type="dxa"/>
            <w:shd w:val="clear" w:color="auto" w:fill="auto"/>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eastAsia="宋体" w:cs="宋体"/>
                <w:b/>
                <w:bCs/>
                <w:color w:val="FF0000"/>
                <w:kern w:val="0"/>
                <w:szCs w:val="21"/>
                <w:lang w:val="en-US" w:eastAsia="zh-CN"/>
              </w:rPr>
              <w:t>1648</w:t>
            </w:r>
          </w:p>
        </w:tc>
        <w:tc>
          <w:tcPr>
            <w:tcW w:w="95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6"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1"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5"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37" w:type="dxa"/>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bl>
    <w:p>
      <w:pPr>
        <w:spacing w:line="360" w:lineRule="auto"/>
        <w:ind w:firstLine="420" w:firstLineChars="200"/>
        <w:jc w:val="center"/>
        <w:rPr>
          <w:rFonts w:ascii="宋体" w:hAnsi="宋体" w:eastAsia="宋体" w:cs="微软雅黑"/>
          <w:szCs w:val="21"/>
        </w:rPr>
      </w:pPr>
    </w:p>
    <w:p>
      <w:pPr>
        <w:adjustRightInd w:val="0"/>
        <w:snapToGrid w:val="0"/>
        <w:spacing w:line="360" w:lineRule="auto"/>
        <w:ind w:firstLine="480" w:firstLineChars="200"/>
        <w:jc w:val="left"/>
        <w:rPr>
          <w:rFonts w:ascii="等线" w:hAnsi="等线"/>
        </w:rPr>
      </w:pPr>
      <w:r>
        <w:rPr>
          <w:rFonts w:hint="eastAsia" w:ascii="黑体" w:hAnsi="黑体" w:eastAsia="黑体"/>
          <w:sz w:val="24"/>
        </w:rPr>
        <w:t>（三）课程结构比例表</w:t>
      </w:r>
    </w:p>
    <w:p>
      <w:pPr>
        <w:adjustRightInd w:val="0"/>
        <w:snapToGrid w:val="0"/>
        <w:spacing w:line="360" w:lineRule="auto"/>
        <w:ind w:firstLine="409" w:firstLineChars="195"/>
        <w:rPr>
          <w:rFonts w:hint="eastAsia" w:ascii="宋体" w:hAnsi="宋体" w:eastAsia="宋体" w:cs="宋体"/>
        </w:rPr>
      </w:pPr>
      <w:r>
        <w:rPr>
          <w:rFonts w:hint="eastAsia" w:ascii="宋体" w:hAnsi="宋体" w:eastAsia="宋体" w:cs="微软雅黑"/>
          <w:szCs w:val="21"/>
        </w:rPr>
        <w:t>食品检验检测技术</w:t>
      </w:r>
      <w:r>
        <w:rPr>
          <w:rFonts w:hint="eastAsia" w:ascii="宋体" w:hAnsi="宋体" w:eastAsia="宋体" w:cs="宋体"/>
        </w:rPr>
        <w:t>专业课程结构比例如表八所示。</w:t>
      </w:r>
    </w:p>
    <w:p>
      <w:pPr>
        <w:adjustRightInd w:val="0"/>
        <w:snapToGrid w:val="0"/>
        <w:spacing w:line="360" w:lineRule="auto"/>
        <w:jc w:val="center"/>
        <w:rPr>
          <w:rFonts w:hint="eastAsia" w:ascii="宋体" w:hAnsi="宋体" w:eastAsia="宋体" w:cs="宋体"/>
        </w:rPr>
      </w:pPr>
    </w:p>
    <w:p>
      <w:pPr>
        <w:adjustRightInd w:val="0"/>
        <w:snapToGrid w:val="0"/>
        <w:spacing w:line="360" w:lineRule="auto"/>
        <w:jc w:val="center"/>
        <w:rPr>
          <w:rFonts w:hint="eastAsia" w:ascii="宋体" w:hAnsi="宋体" w:eastAsia="宋体" w:cs="宋体"/>
        </w:rPr>
      </w:pPr>
    </w:p>
    <w:p>
      <w:pPr>
        <w:adjustRightInd w:val="0"/>
        <w:snapToGrid w:val="0"/>
        <w:spacing w:line="360" w:lineRule="auto"/>
        <w:jc w:val="center"/>
        <w:rPr>
          <w:rFonts w:hint="eastAsia" w:ascii="宋体" w:hAnsi="宋体" w:eastAsia="宋体" w:cs="宋体"/>
        </w:rPr>
      </w:pPr>
    </w:p>
    <w:p>
      <w:pPr>
        <w:adjustRightInd w:val="0"/>
        <w:snapToGrid w:val="0"/>
        <w:spacing w:line="360" w:lineRule="auto"/>
        <w:jc w:val="center"/>
        <w:rPr>
          <w:rFonts w:hint="eastAsia" w:ascii="宋体" w:hAnsi="宋体" w:eastAsia="宋体" w:cs="宋体"/>
        </w:rPr>
      </w:pPr>
    </w:p>
    <w:p>
      <w:pPr>
        <w:adjustRightInd w:val="0"/>
        <w:snapToGrid w:val="0"/>
        <w:spacing w:line="360" w:lineRule="auto"/>
        <w:jc w:val="center"/>
        <w:rPr>
          <w:rFonts w:hint="eastAsia" w:ascii="宋体" w:hAnsi="宋体" w:eastAsia="宋体" w:cs="宋体"/>
        </w:rPr>
      </w:pPr>
    </w:p>
    <w:p>
      <w:pPr>
        <w:adjustRightInd w:val="0"/>
        <w:snapToGrid w:val="0"/>
        <w:spacing w:line="360" w:lineRule="auto"/>
        <w:jc w:val="center"/>
        <w:rPr>
          <w:rFonts w:ascii="宋体" w:hAnsi="宋体" w:eastAsia="宋体" w:cs="宋体"/>
        </w:rPr>
      </w:pPr>
      <w:r>
        <w:rPr>
          <w:rFonts w:hint="eastAsia" w:ascii="宋体" w:hAnsi="宋体" w:eastAsia="宋体" w:cs="宋体"/>
        </w:rPr>
        <w:t xml:space="preserve">表八 </w:t>
      </w:r>
      <w:r>
        <w:rPr>
          <w:rFonts w:hint="eastAsia" w:ascii="宋体" w:hAnsi="宋体" w:eastAsia="宋体" w:cs="微软雅黑"/>
          <w:szCs w:val="21"/>
        </w:rPr>
        <w:t>食品检验检测技术</w:t>
      </w:r>
      <w:r>
        <w:rPr>
          <w:rFonts w:hint="eastAsia" w:ascii="宋体" w:hAnsi="宋体" w:eastAsia="宋体" w:cs="宋体"/>
        </w:rPr>
        <w:t>专业课程结构比例表</w:t>
      </w:r>
    </w:p>
    <w:tbl>
      <w:tblPr>
        <w:tblStyle w:val="13"/>
        <w:tblW w:w="8320" w:type="dxa"/>
        <w:jc w:val="center"/>
        <w:tblLayout w:type="autofit"/>
        <w:tblCellMar>
          <w:top w:w="0" w:type="dxa"/>
          <w:left w:w="108" w:type="dxa"/>
          <w:bottom w:w="0" w:type="dxa"/>
          <w:right w:w="108" w:type="dxa"/>
        </w:tblCellMar>
      </w:tblPr>
      <w:tblGrid>
        <w:gridCol w:w="1360"/>
        <w:gridCol w:w="1160"/>
        <w:gridCol w:w="1160"/>
        <w:gridCol w:w="1160"/>
        <w:gridCol w:w="1160"/>
        <w:gridCol w:w="1160"/>
        <w:gridCol w:w="1160"/>
      </w:tblGrid>
      <w:tr>
        <w:trPr>
          <w:trHeight w:val="441" w:hRule="atLeast"/>
          <w:jc w:val="center"/>
        </w:trPr>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课程分类</w:t>
            </w:r>
          </w:p>
        </w:tc>
        <w:tc>
          <w:tcPr>
            <w:tcW w:w="69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学时及比例</w:t>
            </w:r>
          </w:p>
        </w:tc>
      </w:tr>
      <w:tr>
        <w:tblPrEx>
          <w:tblCellMar>
            <w:top w:w="0" w:type="dxa"/>
            <w:left w:w="108" w:type="dxa"/>
            <w:bottom w:w="0" w:type="dxa"/>
            <w:right w:w="108" w:type="dxa"/>
          </w:tblCellMar>
        </w:tblPrEx>
        <w:trPr>
          <w:trHeight w:val="540" w:hRule="atLeast"/>
          <w:jc w:val="center"/>
        </w:trPr>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总学时</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理论</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实践</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公共必修课程</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FF0000"/>
                <w:kern w:val="0"/>
                <w:szCs w:val="21"/>
                <w:highlight w:val="yellow"/>
              </w:rPr>
              <w:t>8</w:t>
            </w:r>
            <w:r>
              <w:rPr>
                <w:rFonts w:hint="eastAsia" w:ascii="宋体" w:hAnsi="宋体" w:eastAsia="宋体" w:cs="宋体"/>
                <w:color w:val="FF0000"/>
                <w:kern w:val="0"/>
                <w:szCs w:val="21"/>
                <w:highlight w:val="yellow"/>
                <w:lang w:val="en-US" w:eastAsia="zh-CN"/>
              </w:rPr>
              <w:t>56</w:t>
            </w:r>
          </w:p>
        </w:tc>
        <w:tc>
          <w:tcPr>
            <w:tcW w:w="1160"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FF0000"/>
                <w:kern w:val="0"/>
                <w:szCs w:val="21"/>
                <w:highlight w:val="none"/>
              </w:rPr>
            </w:pPr>
            <w:r>
              <w:rPr>
                <w:rFonts w:hint="eastAsia" w:ascii="宋体" w:hAnsi="宋体" w:eastAsia="宋体" w:cs="宋体"/>
                <w:b/>
                <w:bCs/>
                <w:color w:val="FF0000"/>
                <w:kern w:val="0"/>
                <w:szCs w:val="21"/>
                <w:highlight w:val="none"/>
                <w:lang w:val="en-US" w:eastAsia="zh-CN"/>
              </w:rPr>
              <w:t>30.2</w:t>
            </w:r>
            <w:r>
              <w:rPr>
                <w:rFonts w:hint="eastAsia" w:ascii="宋体" w:hAnsi="宋体" w:eastAsia="宋体" w:cs="宋体"/>
                <w:b/>
                <w:bCs/>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FF0000"/>
                <w:kern w:val="0"/>
                <w:szCs w:val="21"/>
                <w:lang w:val="en-US" w:eastAsia="zh-CN"/>
              </w:rPr>
              <w:t>478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16.9</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FF0000"/>
                <w:kern w:val="0"/>
                <w:szCs w:val="21"/>
                <w:lang w:val="en-US" w:eastAsia="zh-CN"/>
              </w:rPr>
              <w:t>378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13.4</w:t>
            </w:r>
            <w:r>
              <w:rPr>
                <w:rFonts w:hint="eastAsia" w:ascii="宋体" w:hAnsi="宋体" w:eastAsia="宋体" w:cs="宋体"/>
                <w:color w:val="FF0000"/>
                <w:kern w:val="0"/>
                <w:szCs w:val="21"/>
                <w:highlight w:val="none"/>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专业必修课程</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r>
              <w:rPr>
                <w:rFonts w:hint="eastAsia" w:ascii="宋体" w:hAnsi="宋体" w:eastAsia="宋体" w:cs="宋体"/>
                <w:color w:val="000000" w:themeColor="text1"/>
                <w:kern w:val="0"/>
                <w:szCs w:val="21"/>
                <w:highlight w:val="none"/>
                <w:lang w:val="en-US" w:eastAsia="zh-CN"/>
                <w14:textFill>
                  <w14:solidFill>
                    <w14:schemeClr w14:val="tx1"/>
                  </w14:solidFill>
                </w14:textFill>
              </w:rPr>
              <w:t>08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53.3</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14.9</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086</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38.4</w:t>
            </w:r>
            <w:r>
              <w:rPr>
                <w:rFonts w:hint="eastAsia" w:ascii="宋体" w:hAnsi="宋体" w:eastAsia="宋体" w:cs="宋体"/>
                <w:color w:val="FF0000"/>
                <w:kern w:val="0"/>
                <w:szCs w:val="21"/>
                <w:highlight w:val="none"/>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必修课程小计</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FF0000"/>
                <w:kern w:val="0"/>
                <w:szCs w:val="21"/>
                <w:highlight w:val="yellow"/>
                <w:lang w:val="en-US" w:eastAsia="zh-CN"/>
              </w:rPr>
              <w:t>2364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rPr>
              <w:t>8</w:t>
            </w:r>
            <w:r>
              <w:rPr>
                <w:rFonts w:hint="eastAsia" w:ascii="宋体" w:hAnsi="宋体" w:eastAsia="宋体" w:cs="宋体"/>
                <w:color w:val="FF0000"/>
                <w:kern w:val="0"/>
                <w:szCs w:val="21"/>
                <w:highlight w:val="none"/>
                <w:lang w:val="en-US" w:eastAsia="zh-CN"/>
              </w:rPr>
              <w:t>3</w:t>
            </w:r>
            <w:r>
              <w:rPr>
                <w:rFonts w:hint="eastAsia" w:ascii="宋体" w:hAnsi="宋体" w:eastAsia="宋体" w:cs="宋体"/>
                <w:color w:val="FF0000"/>
                <w:kern w:val="0"/>
                <w:szCs w:val="21"/>
                <w:highlight w:val="none"/>
              </w:rPr>
              <w:t>.</w:t>
            </w:r>
            <w:r>
              <w:rPr>
                <w:rFonts w:hint="eastAsia" w:ascii="宋体" w:hAnsi="宋体" w:eastAsia="宋体" w:cs="宋体"/>
                <w:color w:val="FF0000"/>
                <w:kern w:val="0"/>
                <w:szCs w:val="21"/>
                <w:highlight w:val="none"/>
                <w:lang w:val="en-US" w:eastAsia="zh-CN"/>
              </w:rPr>
              <w:t>5</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FF0000"/>
                <w:kern w:val="0"/>
                <w:szCs w:val="21"/>
                <w:lang w:val="en-US" w:eastAsia="zh-CN"/>
              </w:rPr>
              <w:t>900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31.8</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FF0000"/>
                <w:kern w:val="0"/>
                <w:szCs w:val="21"/>
                <w:lang w:val="en-US" w:eastAsia="zh-CN"/>
              </w:rPr>
              <w:t>1464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51.7</w:t>
            </w:r>
            <w:r>
              <w:rPr>
                <w:rFonts w:hint="eastAsia" w:ascii="宋体" w:hAnsi="宋体" w:eastAsia="宋体" w:cs="宋体"/>
                <w:color w:val="FF0000"/>
                <w:kern w:val="0"/>
                <w:szCs w:val="21"/>
                <w:highlight w:val="none"/>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公共选修课程</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3.9</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3.7</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rPr>
              <w:t>0.2%</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专业选修课程</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356</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12.6</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6.3</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178</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6.3</w:t>
            </w:r>
            <w:r>
              <w:rPr>
                <w:rFonts w:hint="eastAsia" w:ascii="宋体" w:hAnsi="宋体" w:eastAsia="宋体" w:cs="宋体"/>
                <w:color w:val="FF0000"/>
                <w:kern w:val="0"/>
                <w:szCs w:val="21"/>
                <w:highlight w:val="none"/>
              </w:rPr>
              <w:t>%</w:t>
            </w:r>
          </w:p>
        </w:tc>
      </w:tr>
      <w:tr>
        <w:tblPrEx>
          <w:tblCellMar>
            <w:top w:w="0" w:type="dxa"/>
            <w:left w:w="108" w:type="dxa"/>
            <w:bottom w:w="0" w:type="dxa"/>
            <w:right w:w="108" w:type="dxa"/>
          </w:tblCellMar>
        </w:tblPrEx>
        <w:trPr>
          <w:trHeight w:val="441"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选修课程小计</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466</w:t>
            </w:r>
          </w:p>
        </w:tc>
        <w:tc>
          <w:tcPr>
            <w:tcW w:w="1160"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FF0000"/>
                <w:kern w:val="0"/>
                <w:szCs w:val="21"/>
                <w:highlight w:val="none"/>
              </w:rPr>
            </w:pPr>
            <w:r>
              <w:rPr>
                <w:rFonts w:hint="eastAsia" w:ascii="宋体" w:hAnsi="宋体" w:eastAsia="宋体" w:cs="宋体"/>
                <w:b/>
                <w:bCs/>
                <w:color w:val="FF0000"/>
                <w:kern w:val="0"/>
                <w:szCs w:val="21"/>
                <w:highlight w:val="none"/>
                <w:lang w:val="en-US" w:eastAsia="zh-CN"/>
              </w:rPr>
              <w:t>16.5</w:t>
            </w:r>
            <w:r>
              <w:rPr>
                <w:rFonts w:hint="eastAsia" w:ascii="宋体" w:hAnsi="宋体" w:eastAsia="宋体" w:cs="宋体"/>
                <w:b/>
                <w:bCs/>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282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10.0</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lang w:val="en-US" w:eastAsia="zh-CN"/>
              </w:rPr>
              <w:t>6.5</w:t>
            </w:r>
            <w:r>
              <w:rPr>
                <w:rFonts w:hint="eastAsia" w:ascii="宋体" w:hAnsi="宋体" w:eastAsia="宋体" w:cs="宋体"/>
                <w:color w:val="FF0000"/>
                <w:kern w:val="0"/>
                <w:szCs w:val="21"/>
                <w:highlight w:val="none"/>
              </w:rPr>
              <w:t>%</w:t>
            </w:r>
          </w:p>
        </w:tc>
      </w:tr>
      <w:tr>
        <w:tblPrEx>
          <w:tblCellMar>
            <w:top w:w="0" w:type="dxa"/>
            <w:left w:w="108" w:type="dxa"/>
            <w:bottom w:w="0" w:type="dxa"/>
            <w:right w:w="108" w:type="dxa"/>
          </w:tblCellMar>
        </w:tblPrEx>
        <w:trPr>
          <w:trHeight w:val="478"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w:t>
            </w:r>
            <w:r>
              <w:rPr>
                <w:rFonts w:ascii="Times New Roman" w:hAnsi="Times New Roman"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计</w:t>
            </w:r>
          </w:p>
        </w:tc>
        <w:tc>
          <w:tcPr>
            <w:tcW w:w="1160" w:type="dxa"/>
            <w:tcBorders>
              <w:top w:val="nil"/>
              <w:left w:val="nil"/>
              <w:bottom w:val="single" w:color="auto" w:sz="4" w:space="0"/>
              <w:right w:val="single" w:color="auto" w:sz="4" w:space="0"/>
            </w:tcBorders>
            <w:shd w:val="clear" w:color="000000" w:fill="EEECE1"/>
            <w:vAlign w:val="center"/>
          </w:tcPr>
          <w:p>
            <w:pPr>
              <w:widowControl/>
              <w:jc w:val="center"/>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
                <w:bCs/>
                <w:color w:val="FF0000"/>
                <w:kern w:val="0"/>
                <w:szCs w:val="21"/>
                <w:highlight w:val="none"/>
                <w:lang w:val="en-US" w:eastAsia="zh-CN"/>
              </w:rPr>
              <w:t>2830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FF0000"/>
                <w:kern w:val="0"/>
                <w:szCs w:val="21"/>
                <w:highlight w:val="none"/>
                <w:lang w:val="en-US" w:eastAsia="zh-CN"/>
              </w:rPr>
              <w:t>1182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rPr>
              <w:t>4</w:t>
            </w:r>
            <w:r>
              <w:rPr>
                <w:rFonts w:hint="eastAsia" w:ascii="宋体" w:hAnsi="宋体" w:eastAsia="宋体" w:cs="宋体"/>
                <w:color w:val="FF0000"/>
                <w:kern w:val="0"/>
                <w:szCs w:val="21"/>
                <w:highlight w:val="none"/>
                <w:lang w:val="en-US" w:eastAsia="zh-CN"/>
              </w:rPr>
              <w:t>1.8</w:t>
            </w:r>
            <w:r>
              <w:rPr>
                <w:rFonts w:hint="eastAsia" w:ascii="宋体" w:hAnsi="宋体" w:eastAsia="宋体" w:cs="宋体"/>
                <w:color w:val="FF0000"/>
                <w:kern w:val="0"/>
                <w:szCs w:val="21"/>
                <w:highlight w:val="none"/>
              </w:rPr>
              <w:t>%</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FF0000"/>
                <w:kern w:val="0"/>
                <w:szCs w:val="21"/>
                <w:highlight w:val="none"/>
                <w:lang w:val="en-US" w:eastAsia="zh-CN"/>
              </w:rPr>
              <w:t>1648</w:t>
            </w:r>
          </w:p>
        </w:tc>
        <w:tc>
          <w:tcPr>
            <w:tcW w:w="1160"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FF0000"/>
                <w:kern w:val="0"/>
                <w:szCs w:val="21"/>
                <w:highlight w:val="none"/>
              </w:rPr>
            </w:pPr>
            <w:r>
              <w:rPr>
                <w:rFonts w:hint="eastAsia" w:ascii="宋体" w:hAnsi="宋体" w:eastAsia="宋体" w:cs="宋体"/>
                <w:b/>
                <w:bCs/>
                <w:color w:val="FF0000"/>
                <w:kern w:val="0"/>
                <w:szCs w:val="21"/>
                <w:highlight w:val="none"/>
                <w:lang w:val="en-US" w:eastAsia="zh-CN"/>
              </w:rPr>
              <w:t>58.2</w:t>
            </w:r>
            <w:r>
              <w:rPr>
                <w:rFonts w:hint="eastAsia" w:ascii="宋体" w:hAnsi="宋体" w:eastAsia="宋体" w:cs="宋体"/>
                <w:b/>
                <w:bCs/>
                <w:color w:val="FF0000"/>
                <w:kern w:val="0"/>
                <w:szCs w:val="21"/>
                <w:highlight w:val="none"/>
              </w:rPr>
              <w:t>%</w:t>
            </w:r>
          </w:p>
        </w:tc>
      </w:tr>
    </w:tbl>
    <w:p>
      <w:pPr>
        <w:spacing w:line="360" w:lineRule="auto"/>
        <w:ind w:firstLine="480" w:firstLineChars="200"/>
        <w:rPr>
          <w:rFonts w:ascii="黑体" w:hAnsi="黑体" w:eastAsia="黑体" w:cs="Times New Roman"/>
          <w:sz w:val="24"/>
          <w:szCs w:val="24"/>
        </w:rPr>
      </w:pP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八</w:t>
      </w:r>
      <w:r>
        <w:rPr>
          <w:rFonts w:ascii="Times New Roman" w:hAnsi="Times New Roman" w:eastAsia="黑体" w:cs="Times New Roman"/>
          <w:sz w:val="28"/>
          <w:szCs w:val="28"/>
        </w:rPr>
        <w:t>、</w:t>
      </w:r>
      <w:r>
        <w:rPr>
          <w:rFonts w:hint="eastAsia" w:ascii="Times New Roman" w:hAnsi="Times New Roman" w:eastAsia="黑体" w:cs="Times New Roman"/>
          <w:sz w:val="28"/>
          <w:szCs w:val="28"/>
        </w:rPr>
        <w:t>实施保障</w:t>
      </w:r>
    </w:p>
    <w:p>
      <w:pPr>
        <w:adjustRightInd w:val="0"/>
        <w:spacing w:line="360" w:lineRule="auto"/>
        <w:ind w:firstLine="480" w:firstLineChars="200"/>
        <w:outlineLvl w:val="2"/>
        <w:rPr>
          <w:rFonts w:ascii="黑体" w:hAnsi="黑体" w:eastAsia="黑体" w:cs="Times New Roman"/>
          <w:sz w:val="24"/>
          <w:szCs w:val="24"/>
          <w:highlight w:val="none"/>
        </w:rPr>
      </w:pPr>
      <w:r>
        <w:rPr>
          <w:rFonts w:ascii="黑体" w:hAnsi="黑体" w:eastAsia="黑体" w:cs="Times New Roman"/>
          <w:sz w:val="24"/>
          <w:szCs w:val="24"/>
          <w:highlight w:val="none"/>
        </w:rPr>
        <w:t>（</w:t>
      </w:r>
      <w:r>
        <w:rPr>
          <w:rFonts w:hint="eastAsia" w:ascii="黑体" w:hAnsi="黑体" w:eastAsia="黑体" w:cs="Times New Roman"/>
          <w:sz w:val="24"/>
          <w:szCs w:val="24"/>
          <w:highlight w:val="none"/>
        </w:rPr>
        <w:t>一</w:t>
      </w:r>
      <w:r>
        <w:rPr>
          <w:rFonts w:ascii="黑体" w:hAnsi="黑体" w:eastAsia="黑体" w:cs="Times New Roman"/>
          <w:sz w:val="24"/>
          <w:szCs w:val="24"/>
          <w:highlight w:val="none"/>
        </w:rPr>
        <w:t>）师资队伍</w:t>
      </w:r>
    </w:p>
    <w:p>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1.专业教师任职资格</w:t>
      </w:r>
    </w:p>
    <w:p>
      <w:pPr>
        <w:spacing w:line="360" w:lineRule="auto"/>
        <w:ind w:firstLine="420" w:firstLineChars="200"/>
        <w:rPr>
          <w:rFonts w:ascii="宋体" w:hAnsi="宋体" w:eastAsia="宋体"/>
          <w:szCs w:val="21"/>
        </w:rPr>
      </w:pPr>
      <w:r>
        <w:rPr>
          <w:rFonts w:ascii="宋体" w:hAnsi="宋体" w:eastAsia="宋体"/>
          <w:szCs w:val="21"/>
        </w:rPr>
        <w:t>能够较好地把握本专业发展的方向</w:t>
      </w:r>
      <w:r>
        <w:rPr>
          <w:rFonts w:hint="eastAsia" w:ascii="宋体" w:hAnsi="宋体" w:eastAsia="宋体"/>
          <w:szCs w:val="21"/>
        </w:rPr>
        <w:t>、</w:t>
      </w:r>
      <w:r>
        <w:rPr>
          <w:rFonts w:ascii="宋体" w:hAnsi="宋体" w:eastAsia="宋体"/>
          <w:szCs w:val="21"/>
        </w:rPr>
        <w:t>具备一定的组织协调能力；在专业带头人的指导下</w:t>
      </w:r>
      <w:r>
        <w:rPr>
          <w:rFonts w:hint="eastAsia" w:ascii="宋体" w:hAnsi="宋体" w:eastAsia="宋体"/>
          <w:szCs w:val="21"/>
        </w:rPr>
        <w:t>，</w:t>
      </w:r>
      <w:r>
        <w:rPr>
          <w:rFonts w:ascii="宋体" w:hAnsi="宋体" w:eastAsia="宋体"/>
          <w:szCs w:val="21"/>
        </w:rPr>
        <w:t>能够完成专业核心课程的开发和建设</w:t>
      </w:r>
      <w:r>
        <w:rPr>
          <w:rFonts w:hint="eastAsia" w:ascii="宋体" w:hAnsi="宋体" w:eastAsia="宋体"/>
          <w:szCs w:val="21"/>
        </w:rPr>
        <w:t>；</w:t>
      </w:r>
      <w:r>
        <w:rPr>
          <w:rFonts w:ascii="宋体" w:hAnsi="宋体" w:eastAsia="宋体"/>
          <w:szCs w:val="21"/>
        </w:rPr>
        <w:t>具备教研教改能力和经验， 具有一定的教学管理经验</w:t>
      </w:r>
      <w:r>
        <w:rPr>
          <w:rFonts w:hint="eastAsia" w:ascii="宋体" w:hAnsi="宋体" w:eastAsia="宋体"/>
          <w:szCs w:val="21"/>
        </w:rPr>
        <w:t>，</w:t>
      </w:r>
      <w:r>
        <w:rPr>
          <w:rFonts w:ascii="宋体" w:hAnsi="宋体" w:eastAsia="宋体"/>
          <w:szCs w:val="21"/>
        </w:rPr>
        <w:t>在专业带头人的领导下积极申报省级和校级的教改立项</w:t>
      </w:r>
      <w:r>
        <w:rPr>
          <w:rFonts w:hint="eastAsia" w:ascii="宋体" w:hAnsi="宋体" w:eastAsia="宋体"/>
          <w:szCs w:val="21"/>
        </w:rPr>
        <w:t>，</w:t>
      </w:r>
      <w:r>
        <w:rPr>
          <w:rFonts w:ascii="宋体" w:hAnsi="宋体" w:eastAsia="宋体"/>
          <w:szCs w:val="21"/>
        </w:rPr>
        <w:t>发表教研论文；进行工学结合人才培养模式改革</w:t>
      </w:r>
      <w:r>
        <w:rPr>
          <w:rFonts w:hint="eastAsia" w:ascii="宋体" w:hAnsi="宋体" w:eastAsia="宋体"/>
          <w:szCs w:val="21"/>
        </w:rPr>
        <w:t>、</w:t>
      </w:r>
      <w:r>
        <w:rPr>
          <w:rFonts w:ascii="宋体" w:hAnsi="宋体" w:eastAsia="宋体"/>
          <w:szCs w:val="21"/>
        </w:rPr>
        <w:t>课程体系和教学内容改革</w:t>
      </w:r>
      <w:r>
        <w:rPr>
          <w:rFonts w:hint="eastAsia" w:ascii="宋体" w:hAnsi="宋体" w:eastAsia="宋体"/>
          <w:szCs w:val="21"/>
        </w:rPr>
        <w:t>，</w:t>
      </w:r>
      <w:r>
        <w:rPr>
          <w:rFonts w:ascii="宋体" w:hAnsi="宋体" w:eastAsia="宋体"/>
          <w:szCs w:val="21"/>
        </w:rPr>
        <w:t>获校级以上教学奖励</w:t>
      </w:r>
      <w:r>
        <w:rPr>
          <w:rFonts w:hint="eastAsia" w:ascii="宋体" w:hAnsi="宋体" w:eastAsia="宋体"/>
          <w:szCs w:val="21"/>
        </w:rPr>
        <w:t>。</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2.专任教师任职资格 </w:t>
      </w:r>
    </w:p>
    <w:p>
      <w:pPr>
        <w:spacing w:line="360" w:lineRule="auto"/>
        <w:ind w:firstLine="420" w:firstLineChars="200"/>
        <w:rPr>
          <w:rFonts w:ascii="宋体" w:hAnsi="宋体" w:eastAsia="宋体"/>
          <w:szCs w:val="21"/>
        </w:rPr>
      </w:pPr>
      <w:r>
        <w:rPr>
          <w:rFonts w:ascii="宋体" w:hAnsi="宋体" w:eastAsia="宋体"/>
          <w:szCs w:val="21"/>
        </w:rPr>
        <w:t>本专业专任教师原则上应毕业于食品科学与工程</w:t>
      </w:r>
      <w:r>
        <w:rPr>
          <w:rFonts w:hint="eastAsia" w:ascii="宋体" w:hAnsi="宋体" w:eastAsia="宋体"/>
          <w:szCs w:val="21"/>
        </w:rPr>
        <w:t>、</w:t>
      </w:r>
      <w:r>
        <w:rPr>
          <w:rFonts w:ascii="宋体" w:hAnsi="宋体" w:eastAsia="宋体"/>
          <w:szCs w:val="21"/>
        </w:rPr>
        <w:t>食品工艺</w:t>
      </w:r>
      <w:r>
        <w:rPr>
          <w:rFonts w:hint="eastAsia" w:ascii="宋体" w:hAnsi="宋体" w:eastAsia="宋体"/>
          <w:szCs w:val="21"/>
        </w:rPr>
        <w:t>、</w:t>
      </w:r>
      <w:r>
        <w:rPr>
          <w:rFonts w:ascii="宋体" w:hAnsi="宋体" w:eastAsia="宋体"/>
          <w:szCs w:val="21"/>
        </w:rPr>
        <w:t>农产品加工与贮存等相关专业</w:t>
      </w:r>
      <w:r>
        <w:rPr>
          <w:rFonts w:hint="eastAsia" w:ascii="宋体" w:hAnsi="宋体" w:eastAsia="宋体"/>
          <w:szCs w:val="21"/>
        </w:rPr>
        <w:t>，</w:t>
      </w:r>
      <w:r>
        <w:rPr>
          <w:rFonts w:ascii="宋体" w:hAnsi="宋体" w:eastAsia="宋体"/>
          <w:szCs w:val="21"/>
        </w:rPr>
        <w:t>能够独立完成</w:t>
      </w:r>
      <w:r>
        <w:rPr>
          <w:rFonts w:hint="eastAsia" w:ascii="宋体" w:hAnsi="宋体" w:eastAsia="宋体"/>
          <w:szCs w:val="21"/>
        </w:rPr>
        <w:t>2</w:t>
      </w:r>
      <w:r>
        <w:rPr>
          <w:rFonts w:ascii="宋体" w:hAnsi="宋体" w:eastAsia="宋体"/>
          <w:szCs w:val="21"/>
        </w:rPr>
        <w:t>门以上主干课程的教学任务。</w:t>
      </w:r>
      <w:r>
        <w:rPr>
          <w:rFonts w:hint="eastAsia" w:ascii="宋体" w:hAnsi="宋体" w:eastAsia="宋体"/>
          <w:szCs w:val="21"/>
        </w:rPr>
        <w:t>教师是人才培养方案的实施者，师资队伍的力量直接影响人才培养的结果。为了达到人才培养目标，应确保专业师资水平。具体要求如下：</w:t>
      </w:r>
    </w:p>
    <w:p>
      <w:pPr>
        <w:spacing w:line="360" w:lineRule="auto"/>
        <w:ind w:firstLine="420" w:firstLineChars="200"/>
        <w:rPr>
          <w:rFonts w:ascii="宋体" w:hAnsi="宋体" w:eastAsia="宋体"/>
          <w:szCs w:val="21"/>
        </w:rPr>
      </w:pPr>
      <w:r>
        <w:rPr>
          <w:rFonts w:hint="eastAsia" w:ascii="宋体" w:hAnsi="宋体" w:eastAsia="宋体"/>
          <w:szCs w:val="21"/>
        </w:rPr>
        <w:t xml:space="preserve">（1）校内专职教师要求 </w:t>
      </w:r>
    </w:p>
    <w:p>
      <w:pPr>
        <w:spacing w:line="360" w:lineRule="auto"/>
        <w:ind w:firstLine="420" w:firstLineChars="200"/>
        <w:rPr>
          <w:rFonts w:ascii="宋体" w:hAnsi="宋体" w:eastAsia="宋体"/>
          <w:szCs w:val="21"/>
        </w:rPr>
      </w:pPr>
      <w:r>
        <w:rPr>
          <w:rFonts w:hint="eastAsia" w:ascii="宋体" w:hAnsi="宋体" w:eastAsia="宋体"/>
          <w:szCs w:val="21"/>
        </w:rPr>
        <w:t>① 在校生与专任教师之比不高于25:1；</w:t>
      </w:r>
    </w:p>
    <w:p>
      <w:pPr>
        <w:spacing w:line="360" w:lineRule="auto"/>
        <w:ind w:firstLine="420" w:firstLineChars="200"/>
        <w:rPr>
          <w:rFonts w:ascii="宋体" w:hAnsi="宋体" w:eastAsia="宋体"/>
          <w:szCs w:val="21"/>
        </w:rPr>
      </w:pPr>
      <w:r>
        <w:rPr>
          <w:rFonts w:hint="eastAsia" w:ascii="宋体" w:hAnsi="宋体" w:eastAsia="宋体"/>
          <w:szCs w:val="21"/>
        </w:rPr>
        <w:t>② 专业带头人：熟悉生产过程工业分析技术发展状况和高职教育规律，实践经验丰富、教学效果良好，在行业中有一定的影响力，具有高级职称，具有“双师”素质；</w:t>
      </w:r>
    </w:p>
    <w:p>
      <w:pPr>
        <w:spacing w:line="360" w:lineRule="auto"/>
        <w:ind w:firstLine="420" w:firstLineChars="200"/>
        <w:rPr>
          <w:rFonts w:ascii="宋体" w:hAnsi="宋体" w:eastAsia="宋体"/>
          <w:szCs w:val="21"/>
        </w:rPr>
      </w:pPr>
      <w:r>
        <w:rPr>
          <w:rFonts w:hint="eastAsia" w:ascii="宋体" w:hAnsi="宋体" w:eastAsia="宋体"/>
          <w:szCs w:val="21"/>
        </w:rPr>
        <w:t>③ 要求全体专任教师具备本专业或相近专业大学本科以上学历（含本科）；专任专业教师应接受过职业教育教学方法论的培训，具有开发职业课程的能力；</w:t>
      </w:r>
    </w:p>
    <w:p>
      <w:pPr>
        <w:spacing w:line="360" w:lineRule="auto"/>
        <w:ind w:firstLine="420" w:firstLineChars="200"/>
        <w:rPr>
          <w:rFonts w:ascii="宋体" w:hAnsi="宋体" w:eastAsia="宋体"/>
          <w:szCs w:val="21"/>
        </w:rPr>
      </w:pPr>
      <w:r>
        <w:rPr>
          <w:rFonts w:hint="eastAsia" w:ascii="宋体" w:hAnsi="宋体" w:eastAsia="宋体"/>
          <w:szCs w:val="21"/>
        </w:rPr>
        <w:t xml:space="preserve">④ 要求专职实训室辅导教师该专业工种高级工以上的资格证书（含高级工）； </w:t>
      </w:r>
    </w:p>
    <w:p>
      <w:pPr>
        <w:spacing w:line="360" w:lineRule="auto"/>
        <w:ind w:firstLine="420" w:firstLineChars="200"/>
        <w:rPr>
          <w:rFonts w:ascii="宋体" w:hAnsi="宋体" w:eastAsia="宋体"/>
          <w:szCs w:val="21"/>
        </w:rPr>
      </w:pPr>
      <w:r>
        <w:rPr>
          <w:rFonts w:hint="eastAsia" w:ascii="宋体" w:hAnsi="宋体" w:eastAsia="宋体"/>
          <w:szCs w:val="21"/>
        </w:rPr>
        <w:t>⑤ 本专业专任教师“双师”资格（具备相关专业职业资格证书或企业经历）的比例要达到60%。</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3.兼课教师任职资格 </w:t>
      </w:r>
    </w:p>
    <w:p>
      <w:pPr>
        <w:spacing w:line="360" w:lineRule="auto"/>
        <w:ind w:firstLine="420" w:firstLineChars="200"/>
        <w:rPr>
          <w:rFonts w:ascii="宋体" w:hAnsi="宋体" w:eastAsia="宋体"/>
          <w:szCs w:val="21"/>
        </w:rPr>
      </w:pPr>
      <w:r>
        <w:rPr>
          <w:rFonts w:ascii="宋体" w:hAnsi="宋体" w:eastAsia="宋体"/>
          <w:szCs w:val="21"/>
        </w:rPr>
        <w:t>兼职教师原则上应是来自食品生产企业一线技术人员和工程师</w:t>
      </w:r>
      <w:r>
        <w:rPr>
          <w:rFonts w:hint="eastAsia" w:ascii="宋体" w:hAnsi="宋体" w:eastAsia="宋体"/>
          <w:szCs w:val="21"/>
        </w:rPr>
        <w:t>，</w:t>
      </w:r>
      <w:r>
        <w:rPr>
          <w:rFonts w:ascii="宋体" w:hAnsi="宋体" w:eastAsia="宋体"/>
          <w:szCs w:val="21"/>
        </w:rPr>
        <w:t>且具备相应的中级及以上技术职称</w:t>
      </w:r>
      <w:r>
        <w:rPr>
          <w:rFonts w:hint="eastAsia" w:ascii="宋体" w:hAnsi="宋体" w:eastAsia="宋体"/>
          <w:szCs w:val="21"/>
        </w:rPr>
        <w:t>。</w:t>
      </w:r>
      <w:r>
        <w:rPr>
          <w:rFonts w:ascii="宋体" w:hAnsi="宋体" w:eastAsia="宋体"/>
          <w:szCs w:val="21"/>
        </w:rPr>
        <w:t>能独立完成工艺操作</w:t>
      </w:r>
      <w:r>
        <w:rPr>
          <w:rFonts w:hint="eastAsia" w:ascii="宋体" w:hAnsi="宋体" w:eastAsia="宋体"/>
          <w:szCs w:val="21"/>
        </w:rPr>
        <w:t>、</w:t>
      </w:r>
      <w:r>
        <w:rPr>
          <w:rFonts w:ascii="宋体" w:hAnsi="宋体" w:eastAsia="宋体"/>
          <w:szCs w:val="21"/>
        </w:rPr>
        <w:t>设备操作</w:t>
      </w:r>
      <w:r>
        <w:rPr>
          <w:rFonts w:hint="eastAsia" w:ascii="宋体" w:hAnsi="宋体" w:eastAsia="宋体"/>
          <w:szCs w:val="21"/>
        </w:rPr>
        <w:t>、</w:t>
      </w:r>
      <w:r>
        <w:rPr>
          <w:rFonts w:ascii="宋体" w:hAnsi="宋体" w:eastAsia="宋体"/>
          <w:szCs w:val="21"/>
        </w:rPr>
        <w:t>分析检验岗位的现场操作指导</w:t>
      </w:r>
      <w:r>
        <w:rPr>
          <w:rFonts w:hint="eastAsia" w:ascii="宋体" w:hAnsi="宋体" w:eastAsia="宋体"/>
          <w:szCs w:val="21"/>
        </w:rPr>
        <w:t>，</w:t>
      </w:r>
      <w:r>
        <w:rPr>
          <w:rFonts w:ascii="宋体" w:hAnsi="宋体" w:eastAsia="宋体"/>
          <w:szCs w:val="21"/>
        </w:rPr>
        <w:t>能全程参与课程设计</w:t>
      </w:r>
      <w:r>
        <w:rPr>
          <w:rFonts w:hint="eastAsia" w:ascii="宋体" w:hAnsi="宋体" w:eastAsia="宋体"/>
          <w:szCs w:val="21"/>
        </w:rPr>
        <w:t>、</w:t>
      </w:r>
      <w:r>
        <w:rPr>
          <w:rFonts w:ascii="宋体" w:hAnsi="宋体" w:eastAsia="宋体"/>
          <w:szCs w:val="21"/>
        </w:rPr>
        <w:t>实训</w:t>
      </w:r>
      <w:r>
        <w:rPr>
          <w:rFonts w:hint="eastAsia" w:ascii="宋体" w:hAnsi="宋体" w:eastAsia="宋体"/>
          <w:szCs w:val="21"/>
        </w:rPr>
        <w:t>、</w:t>
      </w:r>
      <w:r>
        <w:rPr>
          <w:rFonts w:ascii="宋体" w:hAnsi="宋体" w:eastAsia="宋体"/>
          <w:szCs w:val="21"/>
        </w:rPr>
        <w:t>实习</w:t>
      </w:r>
      <w:r>
        <w:rPr>
          <w:rFonts w:hint="eastAsia" w:ascii="宋体" w:hAnsi="宋体" w:eastAsia="宋体"/>
          <w:szCs w:val="21"/>
        </w:rPr>
        <w:t>、</w:t>
      </w:r>
      <w:r>
        <w:rPr>
          <w:rFonts w:ascii="宋体" w:hAnsi="宋体" w:eastAsia="宋体"/>
          <w:szCs w:val="21"/>
        </w:rPr>
        <w:t>校外毕业论文等教学环节的指导</w:t>
      </w:r>
      <w:r>
        <w:rPr>
          <w:rFonts w:hint="eastAsia" w:ascii="宋体" w:hAnsi="宋体" w:eastAsia="宋体"/>
          <w:szCs w:val="21"/>
        </w:rPr>
        <w:t>，</w:t>
      </w:r>
      <w:r>
        <w:rPr>
          <w:rFonts w:ascii="宋体" w:hAnsi="宋体" w:eastAsia="宋体"/>
          <w:szCs w:val="21"/>
        </w:rPr>
        <w:t>能积极参与专业建设和课程开发</w:t>
      </w:r>
      <w:r>
        <w:rPr>
          <w:rFonts w:hint="eastAsia" w:ascii="宋体" w:hAnsi="宋体" w:eastAsia="宋体"/>
          <w:szCs w:val="21"/>
        </w:rPr>
        <w:t>，</w:t>
      </w:r>
      <w:r>
        <w:rPr>
          <w:rFonts w:ascii="宋体" w:hAnsi="宋体" w:eastAsia="宋体"/>
          <w:szCs w:val="21"/>
        </w:rPr>
        <w:t>逐步增加兼职教师承担专业课与素质教育课学时的比例。</w:t>
      </w:r>
    </w:p>
    <w:p>
      <w:pPr>
        <w:spacing w:line="360" w:lineRule="auto"/>
        <w:ind w:firstLine="420" w:firstLineChars="200"/>
        <w:rPr>
          <w:rFonts w:ascii="宋体" w:hAnsi="宋体" w:eastAsia="宋体"/>
          <w:szCs w:val="21"/>
        </w:rPr>
      </w:pPr>
      <w:r>
        <w:rPr>
          <w:rFonts w:hint="eastAsia" w:ascii="宋体" w:hAnsi="宋体" w:eastAsia="宋体"/>
          <w:szCs w:val="21"/>
        </w:rPr>
        <w:t>（1） 要求校外兼职教师具备本专业工种高级工以上的资格证书（含高级工）；</w:t>
      </w:r>
    </w:p>
    <w:p>
      <w:pPr>
        <w:spacing w:line="360" w:lineRule="auto"/>
        <w:ind w:firstLine="420" w:firstLineChars="200"/>
        <w:rPr>
          <w:rFonts w:ascii="宋体" w:hAnsi="宋体" w:eastAsia="宋体"/>
          <w:szCs w:val="21"/>
        </w:rPr>
      </w:pPr>
      <w:r>
        <w:rPr>
          <w:rFonts w:hint="eastAsia" w:ascii="宋体" w:hAnsi="宋体" w:eastAsia="宋体"/>
          <w:szCs w:val="21"/>
        </w:rPr>
        <w:t>（2）校外兼职教师要求具有5年以上本行业的一线工作经验；</w:t>
      </w:r>
    </w:p>
    <w:p>
      <w:pPr>
        <w:spacing w:line="360" w:lineRule="auto"/>
        <w:ind w:firstLine="420" w:firstLineChars="200"/>
        <w:rPr>
          <w:rFonts w:ascii="宋体" w:hAnsi="宋体" w:eastAsia="宋体"/>
          <w:szCs w:val="21"/>
        </w:rPr>
      </w:pPr>
      <w:r>
        <w:rPr>
          <w:rFonts w:hint="eastAsia" w:ascii="宋体" w:hAnsi="宋体" w:eastAsia="宋体"/>
          <w:szCs w:val="21"/>
        </w:rPr>
        <w:t xml:space="preserve">（3） 要求校外兼职教师为企业一线技术主管或单位技术主管。 </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4.外聘兼职兼课教师任职资格 </w:t>
      </w:r>
    </w:p>
    <w:p>
      <w:pPr>
        <w:spacing w:line="360" w:lineRule="auto"/>
        <w:ind w:firstLine="420" w:firstLineChars="200"/>
        <w:rPr>
          <w:rFonts w:ascii="宋体" w:hAnsi="宋体" w:eastAsia="宋体"/>
          <w:szCs w:val="21"/>
        </w:rPr>
      </w:pPr>
      <w:r>
        <w:rPr>
          <w:rFonts w:hint="eastAsia" w:ascii="宋体" w:hAnsi="宋体" w:eastAsia="宋体"/>
          <w:szCs w:val="21"/>
        </w:rPr>
        <w:t xml:space="preserve">（1）校外兼职教师占专业教师总数30%左右，承担全部学时20%左右教学任务。 </w:t>
      </w:r>
    </w:p>
    <w:p>
      <w:pPr>
        <w:spacing w:line="360" w:lineRule="auto"/>
        <w:ind w:firstLine="420" w:firstLineChars="200"/>
        <w:rPr>
          <w:rFonts w:ascii="宋体" w:hAnsi="宋体" w:eastAsia="宋体"/>
          <w:szCs w:val="21"/>
        </w:rPr>
      </w:pPr>
      <w:r>
        <w:rPr>
          <w:rFonts w:hint="eastAsia" w:ascii="宋体" w:hAnsi="宋体" w:eastAsia="宋体"/>
          <w:szCs w:val="21"/>
        </w:rPr>
        <w:t xml:space="preserve">（2）具有良好的师德，较强的敬业精神，具有一定的教育教学经验，熟悉高等教育的教学方法。 </w:t>
      </w:r>
    </w:p>
    <w:p>
      <w:pPr>
        <w:spacing w:line="360" w:lineRule="auto"/>
        <w:ind w:firstLine="420" w:firstLineChars="200"/>
        <w:rPr>
          <w:rFonts w:ascii="宋体" w:hAnsi="宋体" w:eastAsia="宋体"/>
          <w:szCs w:val="21"/>
        </w:rPr>
      </w:pPr>
      <w:r>
        <w:rPr>
          <w:rFonts w:hint="eastAsia" w:ascii="宋体" w:hAnsi="宋体" w:eastAsia="宋体"/>
          <w:szCs w:val="21"/>
        </w:rPr>
        <w:t xml:space="preserve">（3）具有5年以上本专业工作经历。 </w:t>
      </w:r>
    </w:p>
    <w:p>
      <w:pPr>
        <w:spacing w:line="360" w:lineRule="auto"/>
        <w:ind w:firstLine="420" w:firstLineChars="200"/>
        <w:rPr>
          <w:rFonts w:ascii="宋体" w:hAnsi="宋体" w:eastAsia="宋体"/>
          <w:szCs w:val="21"/>
        </w:rPr>
      </w:pPr>
      <w:r>
        <w:rPr>
          <w:rFonts w:hint="eastAsia" w:ascii="宋体" w:hAnsi="宋体" w:eastAsia="宋体"/>
          <w:szCs w:val="21"/>
        </w:rPr>
        <w:t xml:space="preserve">（4）具有中级(含)专业技术职称或硕士(含)以上学位或大中型企业中层以上管理人员，专业知识水平较高。 </w:t>
      </w:r>
    </w:p>
    <w:p>
      <w:pPr>
        <w:spacing w:line="360" w:lineRule="auto"/>
        <w:ind w:firstLine="420" w:firstLineChars="200"/>
        <w:rPr>
          <w:rFonts w:ascii="宋体" w:hAnsi="宋体" w:eastAsia="宋体"/>
          <w:szCs w:val="21"/>
        </w:rPr>
      </w:pPr>
      <w:r>
        <w:rPr>
          <w:rFonts w:hint="eastAsia" w:ascii="宋体" w:hAnsi="宋体" w:eastAsia="宋体"/>
          <w:szCs w:val="21"/>
        </w:rPr>
        <w:t xml:space="preserve">（5）具有较强的语言表达能力和课堂组织能力。 </w:t>
      </w:r>
    </w:p>
    <w:p>
      <w:pPr>
        <w:spacing w:line="360" w:lineRule="auto"/>
        <w:ind w:firstLine="420" w:firstLineChars="200"/>
        <w:rPr>
          <w:rFonts w:ascii="宋体" w:hAnsi="宋体" w:eastAsia="宋体"/>
          <w:szCs w:val="21"/>
        </w:rPr>
      </w:pPr>
      <w:r>
        <w:rPr>
          <w:rFonts w:hint="eastAsia" w:ascii="宋体" w:hAnsi="宋体" w:eastAsia="宋体"/>
          <w:szCs w:val="21"/>
        </w:rPr>
        <w:t>（6）具有完成课堂讲授、实习指导、论文指导等教学任务的充沛精力和充足时间。</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（二）</w:t>
      </w:r>
      <w:r>
        <w:rPr>
          <w:rFonts w:ascii="黑体" w:hAnsi="黑体" w:eastAsia="黑体" w:cs="Times New Roman"/>
          <w:sz w:val="24"/>
          <w:szCs w:val="24"/>
        </w:rPr>
        <w:t>教学设施</w:t>
      </w:r>
    </w:p>
    <w:p>
      <w:pPr>
        <w:spacing w:line="360" w:lineRule="auto"/>
        <w:ind w:firstLine="420" w:firstLineChars="200"/>
        <w:rPr>
          <w:rFonts w:asciiTheme="minorEastAsia" w:hAnsiTheme="minorEastAsia"/>
          <w:b/>
          <w:szCs w:val="21"/>
        </w:rPr>
      </w:pPr>
      <w:r>
        <w:rPr>
          <w:rFonts w:hint="eastAsia" w:asciiTheme="minorEastAsia" w:hAnsiTheme="minorEastAsia"/>
          <w:b/>
          <w:szCs w:val="21"/>
        </w:rPr>
        <w:t xml:space="preserve">1.校内外实训条件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（1）校内实验实训基本条件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w:t>
      </w:r>
      <w:r>
        <w:rPr>
          <w:rFonts w:hint="eastAsia" w:ascii="Times New Roman" w:hAnsi="Times New Roman" w:eastAsia="宋体" w:cs="Times New Roman"/>
          <w:szCs w:val="21"/>
        </w:rPr>
        <w:t>食品检验检测技术</w:t>
      </w:r>
      <w:r>
        <w:rPr>
          <w:rFonts w:ascii="Times New Roman" w:hAnsi="Times New Roman" w:eastAsia="宋体" w:cs="Times New Roman"/>
          <w:szCs w:val="21"/>
        </w:rPr>
        <w:t>专业课程设置和教学要求，应设置满足教学要求的基础课教学实验室和专业实训基地（室）。校内实验实训设施可以本专业独立配置的，也可以是与相关专业共享。校内实验实训仪器设备配置见表</w:t>
      </w:r>
      <w:r>
        <w:rPr>
          <w:rFonts w:hint="eastAsia" w:ascii="Times New Roman" w:hAnsi="Times New Roman" w:eastAsia="宋体" w:cs="Times New Roman"/>
          <w:szCs w:val="21"/>
        </w:rPr>
        <w:t>九</w:t>
      </w:r>
      <w:r>
        <w:rPr>
          <w:rFonts w:ascii="Times New Roman" w:hAnsi="Times New Roman" w:eastAsia="宋体" w:cs="Times New Roman"/>
          <w:szCs w:val="21"/>
        </w:rPr>
        <w:t>。</w:t>
      </w:r>
    </w:p>
    <w:p>
      <w:pPr>
        <w:spacing w:line="360" w:lineRule="auto"/>
        <w:ind w:firstLine="420" w:firstLineChars="200"/>
        <w:jc w:val="center"/>
        <w:rPr>
          <w:rFonts w:ascii="Times New Roman" w:hAnsi="Times New Roman" w:eastAsia="宋体" w:cs="Times New Roman"/>
          <w:szCs w:val="21"/>
        </w:rPr>
      </w:pPr>
    </w:p>
    <w:p>
      <w:pPr>
        <w:spacing w:line="360" w:lineRule="auto"/>
        <w:ind w:firstLine="420" w:firstLineChars="200"/>
        <w:jc w:val="center"/>
        <w:rPr>
          <w:rFonts w:ascii="Times New Roman" w:hAnsi="Times New Roman" w:eastAsia="宋体" w:cs="Times New Roman"/>
          <w:szCs w:val="21"/>
        </w:rPr>
      </w:pPr>
    </w:p>
    <w:p>
      <w:pPr>
        <w:spacing w:line="360" w:lineRule="auto"/>
        <w:ind w:firstLine="420" w:firstLineChars="200"/>
        <w:jc w:val="center"/>
        <w:rPr>
          <w:rFonts w:ascii="Times New Roman" w:hAnsi="Times New Roman" w:eastAsia="宋体" w:cs="Times New Roman"/>
          <w:szCs w:val="21"/>
        </w:rPr>
      </w:pPr>
    </w:p>
    <w:p>
      <w:pPr>
        <w:spacing w:line="360" w:lineRule="auto"/>
        <w:ind w:firstLine="420" w:firstLineChars="200"/>
        <w:jc w:val="center"/>
        <w:rPr>
          <w:rFonts w:ascii="Times New Roman" w:hAnsi="Times New Roman" w:eastAsia="宋体" w:cs="Times New Roman"/>
          <w:szCs w:val="21"/>
        </w:rPr>
      </w:pPr>
    </w:p>
    <w:p>
      <w:pPr>
        <w:spacing w:line="360" w:lineRule="auto"/>
        <w:ind w:firstLine="420" w:firstLineChars="200"/>
        <w:jc w:val="center"/>
        <w:rPr>
          <w:rFonts w:ascii="Times New Roman" w:hAnsi="Times New Roman" w:eastAsia="宋体" w:cs="Times New Roman"/>
          <w:szCs w:val="21"/>
        </w:rPr>
      </w:pP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w:t>
      </w:r>
      <w:r>
        <w:rPr>
          <w:rFonts w:hint="eastAsia" w:ascii="Times New Roman" w:hAnsi="Times New Roman" w:eastAsia="宋体" w:cs="Times New Roman"/>
          <w:szCs w:val="21"/>
        </w:rPr>
        <w:t xml:space="preserve">九 </w:t>
      </w:r>
      <w:r>
        <w:rPr>
          <w:rFonts w:ascii="Times New Roman" w:hAnsi="Times New Roman" w:eastAsia="宋体" w:cs="Times New Roman"/>
          <w:szCs w:val="21"/>
        </w:rPr>
        <w:t>校内实验实训仪器设备配置</w:t>
      </w:r>
      <w:r>
        <w:rPr>
          <w:rFonts w:hint="eastAsia" w:ascii="Times New Roman" w:hAnsi="Times New Roman" w:eastAsia="宋体" w:cs="Times New Roman"/>
          <w:szCs w:val="21"/>
        </w:rPr>
        <w:t>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840"/>
        <w:gridCol w:w="960"/>
        <w:gridCol w:w="1200"/>
        <w:gridCol w:w="1320"/>
        <w:gridCol w:w="1200"/>
        <w:gridCol w:w="9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jc w:val="center"/>
        </w:trPr>
        <w:tc>
          <w:tcPr>
            <w:tcW w:w="588" w:type="dxa"/>
            <w:vMerge w:val="restart"/>
            <w:vAlign w:val="center"/>
          </w:tcPr>
          <w:p>
            <w:pPr>
              <w:pStyle w:val="40"/>
              <w:rPr>
                <w:rFonts w:ascii="Times New Roman" w:hAnsi="Times New Roman"/>
                <w:szCs w:val="21"/>
              </w:rPr>
            </w:pPr>
            <w:r>
              <w:rPr>
                <w:rFonts w:ascii="Times New Roman" w:hAnsi="Times New Roman"/>
                <w:szCs w:val="21"/>
              </w:rPr>
              <w:t>序号</w:t>
            </w:r>
          </w:p>
        </w:tc>
        <w:tc>
          <w:tcPr>
            <w:tcW w:w="840" w:type="dxa"/>
            <w:vMerge w:val="restart"/>
            <w:vAlign w:val="center"/>
          </w:tcPr>
          <w:p>
            <w:pPr>
              <w:pStyle w:val="40"/>
              <w:rPr>
                <w:rFonts w:ascii="Times New Roman" w:hAnsi="Times New Roman"/>
                <w:szCs w:val="21"/>
              </w:rPr>
            </w:pPr>
            <w:r>
              <w:rPr>
                <w:rFonts w:ascii="Times New Roman" w:hAnsi="Times New Roman"/>
                <w:szCs w:val="21"/>
              </w:rPr>
              <w:t>实训室名称</w:t>
            </w:r>
          </w:p>
        </w:tc>
        <w:tc>
          <w:tcPr>
            <w:tcW w:w="960" w:type="dxa"/>
            <w:vMerge w:val="restart"/>
            <w:vAlign w:val="center"/>
          </w:tcPr>
          <w:p>
            <w:pPr>
              <w:pStyle w:val="40"/>
              <w:rPr>
                <w:rFonts w:ascii="Times New Roman" w:hAnsi="Times New Roman"/>
                <w:szCs w:val="21"/>
              </w:rPr>
            </w:pPr>
            <w:r>
              <w:rPr>
                <w:rFonts w:ascii="Times New Roman" w:hAnsi="Times New Roman"/>
                <w:szCs w:val="21"/>
              </w:rPr>
              <w:t>现有建筑面积（m</w:t>
            </w:r>
            <w:r>
              <w:rPr>
                <w:rFonts w:ascii="Times New Roman" w:hAnsi="Times New Roman"/>
                <w:szCs w:val="21"/>
                <w:vertAlign w:val="superscript"/>
              </w:rPr>
              <w:t>2</w:t>
            </w:r>
            <w:r>
              <w:rPr>
                <w:rFonts w:ascii="Times New Roman" w:hAnsi="Times New Roman"/>
                <w:szCs w:val="21"/>
              </w:rPr>
              <w:t>）</w:t>
            </w:r>
          </w:p>
        </w:tc>
        <w:tc>
          <w:tcPr>
            <w:tcW w:w="1200" w:type="dxa"/>
            <w:vMerge w:val="restart"/>
            <w:vAlign w:val="center"/>
          </w:tcPr>
          <w:p>
            <w:pPr>
              <w:pStyle w:val="40"/>
              <w:rPr>
                <w:rFonts w:ascii="Times New Roman" w:hAnsi="Times New Roman"/>
                <w:szCs w:val="21"/>
              </w:rPr>
            </w:pPr>
            <w:r>
              <w:rPr>
                <w:rFonts w:ascii="Times New Roman" w:hAnsi="Times New Roman"/>
                <w:szCs w:val="21"/>
              </w:rPr>
              <w:t>现有设备价值（万元）</w:t>
            </w:r>
          </w:p>
        </w:tc>
        <w:tc>
          <w:tcPr>
            <w:tcW w:w="3480" w:type="dxa"/>
            <w:gridSpan w:val="3"/>
            <w:vAlign w:val="center"/>
          </w:tcPr>
          <w:p>
            <w:pPr>
              <w:pStyle w:val="40"/>
              <w:rPr>
                <w:rFonts w:ascii="Times New Roman" w:hAnsi="Times New Roman"/>
                <w:szCs w:val="21"/>
              </w:rPr>
            </w:pPr>
            <w:r>
              <w:rPr>
                <w:rFonts w:ascii="Times New Roman" w:hAnsi="Times New Roman"/>
                <w:szCs w:val="21"/>
              </w:rPr>
              <w:t>现有主要设备</w:t>
            </w:r>
          </w:p>
        </w:tc>
        <w:tc>
          <w:tcPr>
            <w:tcW w:w="1454" w:type="dxa"/>
            <w:vMerge w:val="restart"/>
            <w:vAlign w:val="center"/>
          </w:tcPr>
          <w:p>
            <w:pPr>
              <w:pStyle w:val="40"/>
              <w:rPr>
                <w:rFonts w:ascii="Times New Roman" w:hAnsi="Times New Roman"/>
                <w:szCs w:val="21"/>
              </w:rPr>
            </w:pPr>
            <w:r>
              <w:rPr>
                <w:rFonts w:ascii="Times New Roman" w:hAnsi="Times New Roman"/>
                <w:szCs w:val="21"/>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名称</w:t>
            </w:r>
          </w:p>
        </w:tc>
        <w:tc>
          <w:tcPr>
            <w:tcW w:w="1200" w:type="dxa"/>
            <w:vAlign w:val="center"/>
          </w:tcPr>
          <w:p>
            <w:pPr>
              <w:pStyle w:val="40"/>
              <w:rPr>
                <w:rFonts w:ascii="Times New Roman" w:hAnsi="Times New Roman"/>
                <w:szCs w:val="21"/>
              </w:rPr>
            </w:pPr>
            <w:r>
              <w:rPr>
                <w:rFonts w:ascii="Times New Roman" w:hAnsi="Times New Roman"/>
                <w:szCs w:val="21"/>
              </w:rPr>
              <w:t>单价（万元）</w:t>
            </w:r>
          </w:p>
        </w:tc>
        <w:tc>
          <w:tcPr>
            <w:tcW w:w="960" w:type="dxa"/>
            <w:vAlign w:val="center"/>
          </w:tcPr>
          <w:p>
            <w:pPr>
              <w:pStyle w:val="40"/>
              <w:rPr>
                <w:rFonts w:ascii="Times New Roman" w:hAnsi="Times New Roman"/>
                <w:szCs w:val="21"/>
              </w:rPr>
            </w:pPr>
            <w:r>
              <w:rPr>
                <w:rFonts w:ascii="Times New Roman" w:hAnsi="Times New Roman"/>
                <w:szCs w:val="21"/>
              </w:rPr>
              <w:t>台套数</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vAlign w:val="center"/>
          </w:tcPr>
          <w:p>
            <w:pPr>
              <w:pStyle w:val="40"/>
              <w:rPr>
                <w:rFonts w:ascii="Times New Roman" w:hAnsi="Times New Roman"/>
                <w:szCs w:val="21"/>
              </w:rPr>
            </w:pPr>
            <w:r>
              <w:rPr>
                <w:rFonts w:ascii="Times New Roman" w:hAnsi="Times New Roman"/>
                <w:szCs w:val="21"/>
              </w:rPr>
              <w:t>1</w:t>
            </w:r>
          </w:p>
        </w:tc>
        <w:tc>
          <w:tcPr>
            <w:tcW w:w="840" w:type="dxa"/>
            <w:vMerge w:val="restart"/>
            <w:vAlign w:val="center"/>
          </w:tcPr>
          <w:p>
            <w:pPr>
              <w:pStyle w:val="40"/>
              <w:rPr>
                <w:rFonts w:ascii="Times New Roman" w:hAnsi="Times New Roman"/>
                <w:szCs w:val="21"/>
              </w:rPr>
            </w:pPr>
            <w:r>
              <w:rPr>
                <w:rFonts w:ascii="Times New Roman" w:hAnsi="Times New Roman"/>
                <w:szCs w:val="21"/>
              </w:rPr>
              <w:t>基础化学实训室</w:t>
            </w:r>
          </w:p>
        </w:tc>
        <w:tc>
          <w:tcPr>
            <w:tcW w:w="960" w:type="dxa"/>
            <w:vMerge w:val="restart"/>
            <w:vAlign w:val="center"/>
          </w:tcPr>
          <w:p>
            <w:pPr>
              <w:pStyle w:val="40"/>
              <w:rPr>
                <w:rFonts w:ascii="Times New Roman" w:hAnsi="Times New Roman"/>
                <w:szCs w:val="21"/>
              </w:rPr>
            </w:pPr>
            <w:r>
              <w:rPr>
                <w:rFonts w:ascii="Times New Roman" w:hAnsi="Times New Roman"/>
                <w:szCs w:val="21"/>
              </w:rPr>
              <w:t>286</w:t>
            </w:r>
          </w:p>
        </w:tc>
        <w:tc>
          <w:tcPr>
            <w:tcW w:w="1200" w:type="dxa"/>
            <w:vMerge w:val="restart"/>
            <w:vAlign w:val="center"/>
          </w:tcPr>
          <w:p>
            <w:pPr>
              <w:pStyle w:val="40"/>
              <w:rPr>
                <w:rFonts w:ascii="Times New Roman" w:hAnsi="Times New Roman"/>
                <w:szCs w:val="21"/>
              </w:rPr>
            </w:pPr>
            <w:r>
              <w:rPr>
                <w:rFonts w:ascii="Times New Roman" w:hAnsi="Times New Roman"/>
                <w:szCs w:val="21"/>
              </w:rPr>
              <w:t>12.6</w:t>
            </w:r>
          </w:p>
        </w:tc>
        <w:tc>
          <w:tcPr>
            <w:tcW w:w="1320" w:type="dxa"/>
            <w:vAlign w:val="center"/>
          </w:tcPr>
          <w:p>
            <w:pPr>
              <w:pStyle w:val="40"/>
              <w:rPr>
                <w:rFonts w:ascii="Times New Roman" w:hAnsi="Times New Roman"/>
                <w:szCs w:val="21"/>
              </w:rPr>
            </w:pPr>
            <w:r>
              <w:rPr>
                <w:rFonts w:ascii="Times New Roman" w:hAnsi="Times New Roman"/>
                <w:szCs w:val="21"/>
              </w:rPr>
              <w:t>马弗炉</w:t>
            </w:r>
          </w:p>
        </w:tc>
        <w:tc>
          <w:tcPr>
            <w:tcW w:w="1200" w:type="dxa"/>
            <w:vAlign w:val="center"/>
          </w:tcPr>
          <w:p>
            <w:pPr>
              <w:pStyle w:val="40"/>
              <w:rPr>
                <w:rFonts w:ascii="Times New Roman" w:hAnsi="Times New Roman"/>
                <w:szCs w:val="21"/>
              </w:rPr>
            </w:pPr>
            <w:r>
              <w:rPr>
                <w:rFonts w:ascii="Times New Roman" w:hAnsi="Times New Roman"/>
                <w:szCs w:val="21"/>
              </w:rPr>
              <w:t>1.2</w:t>
            </w:r>
          </w:p>
        </w:tc>
        <w:tc>
          <w:tcPr>
            <w:tcW w:w="960" w:type="dxa"/>
            <w:vAlign w:val="center"/>
          </w:tcPr>
          <w:p>
            <w:pPr>
              <w:pStyle w:val="40"/>
              <w:rPr>
                <w:rFonts w:ascii="Times New Roman" w:hAnsi="Times New Roman"/>
                <w:szCs w:val="21"/>
              </w:rPr>
            </w:pPr>
            <w:r>
              <w:rPr>
                <w:rFonts w:ascii="Times New Roman" w:hAnsi="Times New Roman"/>
                <w:szCs w:val="21"/>
              </w:rPr>
              <w:t>2</w:t>
            </w:r>
          </w:p>
        </w:tc>
        <w:tc>
          <w:tcPr>
            <w:tcW w:w="1454" w:type="dxa"/>
            <w:vMerge w:val="restart"/>
            <w:vAlign w:val="center"/>
          </w:tcPr>
          <w:p>
            <w:pPr>
              <w:pStyle w:val="40"/>
              <w:rPr>
                <w:rFonts w:ascii="Times New Roman" w:hAnsi="Times New Roman"/>
                <w:szCs w:val="21"/>
              </w:rPr>
            </w:pPr>
            <w:r>
              <w:rPr>
                <w:rFonts w:ascii="Times New Roman" w:hAnsi="Times New Roman"/>
                <w:szCs w:val="21"/>
              </w:rPr>
              <w:t>1.化学实验基本操作技术</w:t>
            </w:r>
          </w:p>
          <w:p>
            <w:pPr>
              <w:pStyle w:val="40"/>
              <w:rPr>
                <w:rFonts w:ascii="Times New Roman" w:hAnsi="Times New Roman"/>
                <w:szCs w:val="21"/>
              </w:rPr>
            </w:pPr>
            <w:r>
              <w:rPr>
                <w:rFonts w:ascii="Times New Roman" w:hAnsi="Times New Roman"/>
                <w:szCs w:val="21"/>
              </w:rPr>
              <w:t xml:space="preserve"> 2.常见物理常数及性能测定</w:t>
            </w:r>
          </w:p>
          <w:p>
            <w:pPr>
              <w:pStyle w:val="40"/>
              <w:rPr>
                <w:rFonts w:ascii="Times New Roman" w:hAnsi="Times New Roman"/>
                <w:szCs w:val="21"/>
              </w:rPr>
            </w:pPr>
            <w:r>
              <w:rPr>
                <w:rFonts w:ascii="Times New Roman" w:hAnsi="Times New Roman"/>
                <w:szCs w:val="21"/>
              </w:rPr>
              <w:t>3.有机物合成技术</w:t>
            </w:r>
          </w:p>
          <w:p>
            <w:pPr>
              <w:pStyle w:val="40"/>
              <w:rPr>
                <w:rFonts w:ascii="Times New Roman" w:hAnsi="Times New Roman"/>
                <w:szCs w:val="21"/>
              </w:rPr>
            </w:pPr>
            <w:r>
              <w:rPr>
                <w:rFonts w:ascii="Times New Roman" w:hAnsi="Times New Roman"/>
                <w:szCs w:val="21"/>
              </w:rPr>
              <w:t>4.化学分析测定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电子超纯水机</w:t>
            </w:r>
          </w:p>
        </w:tc>
        <w:tc>
          <w:tcPr>
            <w:tcW w:w="1200" w:type="dxa"/>
            <w:vAlign w:val="center"/>
          </w:tcPr>
          <w:p>
            <w:pPr>
              <w:pStyle w:val="40"/>
              <w:rPr>
                <w:rFonts w:ascii="Times New Roman" w:hAnsi="Times New Roman"/>
                <w:szCs w:val="21"/>
              </w:rPr>
            </w:pPr>
            <w:r>
              <w:rPr>
                <w:rFonts w:ascii="Times New Roman" w:hAnsi="Times New Roman"/>
                <w:szCs w:val="21"/>
              </w:rPr>
              <w:t>2.8</w:t>
            </w:r>
          </w:p>
        </w:tc>
        <w:tc>
          <w:tcPr>
            <w:tcW w:w="960" w:type="dxa"/>
            <w:vAlign w:val="center"/>
          </w:tcPr>
          <w:p>
            <w:pPr>
              <w:pStyle w:val="40"/>
              <w:rPr>
                <w:rFonts w:ascii="Times New Roman" w:hAnsi="Times New Roman"/>
                <w:szCs w:val="21"/>
              </w:rPr>
            </w:pPr>
            <w:r>
              <w:rPr>
                <w:rFonts w:ascii="Times New Roman" w:hAnsi="Times New Roman"/>
                <w:szCs w:val="21"/>
              </w:rPr>
              <w:t>1</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电热干燥箱</w:t>
            </w:r>
          </w:p>
        </w:tc>
        <w:tc>
          <w:tcPr>
            <w:tcW w:w="1200" w:type="dxa"/>
            <w:vAlign w:val="center"/>
          </w:tcPr>
          <w:p>
            <w:pPr>
              <w:pStyle w:val="40"/>
              <w:rPr>
                <w:rFonts w:ascii="Times New Roman" w:hAnsi="Times New Roman"/>
                <w:szCs w:val="21"/>
              </w:rPr>
            </w:pPr>
            <w:r>
              <w:rPr>
                <w:rFonts w:ascii="Times New Roman" w:hAnsi="Times New Roman"/>
                <w:szCs w:val="21"/>
              </w:rPr>
              <w:t>0.4</w:t>
            </w:r>
          </w:p>
        </w:tc>
        <w:tc>
          <w:tcPr>
            <w:tcW w:w="960" w:type="dxa"/>
            <w:vAlign w:val="center"/>
          </w:tcPr>
          <w:p>
            <w:pPr>
              <w:pStyle w:val="40"/>
              <w:rPr>
                <w:rFonts w:ascii="Times New Roman" w:hAnsi="Times New Roman"/>
                <w:szCs w:val="21"/>
              </w:rPr>
            </w:pPr>
            <w:r>
              <w:rPr>
                <w:rFonts w:ascii="Times New Roman" w:hAnsi="Times New Roman"/>
                <w:szCs w:val="21"/>
              </w:rPr>
              <w:t>4</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自动旋光仪</w:t>
            </w:r>
          </w:p>
        </w:tc>
        <w:tc>
          <w:tcPr>
            <w:tcW w:w="1200" w:type="dxa"/>
            <w:vAlign w:val="center"/>
          </w:tcPr>
          <w:p>
            <w:pPr>
              <w:pStyle w:val="40"/>
              <w:rPr>
                <w:rFonts w:ascii="Times New Roman" w:hAnsi="Times New Roman"/>
                <w:szCs w:val="21"/>
              </w:rPr>
            </w:pPr>
            <w:r>
              <w:rPr>
                <w:rFonts w:ascii="Times New Roman" w:hAnsi="Times New Roman"/>
                <w:szCs w:val="21"/>
              </w:rPr>
              <w:t>0.9</w:t>
            </w:r>
          </w:p>
        </w:tc>
        <w:tc>
          <w:tcPr>
            <w:tcW w:w="960" w:type="dxa"/>
            <w:vAlign w:val="center"/>
          </w:tcPr>
          <w:p>
            <w:pPr>
              <w:pStyle w:val="40"/>
              <w:rPr>
                <w:rFonts w:ascii="Times New Roman" w:hAnsi="Times New Roman"/>
                <w:szCs w:val="21"/>
              </w:rPr>
            </w:pPr>
            <w:r>
              <w:rPr>
                <w:rFonts w:ascii="Times New Roman" w:hAnsi="Times New Roman"/>
                <w:szCs w:val="21"/>
              </w:rPr>
              <w:t>4</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自动永停电位滴定仪的价格</w:t>
            </w:r>
          </w:p>
        </w:tc>
        <w:tc>
          <w:tcPr>
            <w:tcW w:w="1200" w:type="dxa"/>
            <w:vAlign w:val="center"/>
          </w:tcPr>
          <w:p>
            <w:pPr>
              <w:pStyle w:val="40"/>
              <w:rPr>
                <w:rFonts w:ascii="Times New Roman" w:hAnsi="Times New Roman"/>
                <w:szCs w:val="21"/>
              </w:rPr>
            </w:pPr>
            <w:r>
              <w:rPr>
                <w:rFonts w:ascii="Times New Roman" w:hAnsi="Times New Roman"/>
                <w:szCs w:val="21"/>
              </w:rPr>
              <w:t>1.1</w:t>
            </w:r>
          </w:p>
        </w:tc>
        <w:tc>
          <w:tcPr>
            <w:tcW w:w="960" w:type="dxa"/>
            <w:vAlign w:val="center"/>
          </w:tcPr>
          <w:p>
            <w:pPr>
              <w:pStyle w:val="40"/>
              <w:rPr>
                <w:rFonts w:ascii="Times New Roman" w:hAnsi="Times New Roman"/>
                <w:szCs w:val="21"/>
              </w:rPr>
            </w:pPr>
            <w:r>
              <w:rPr>
                <w:rFonts w:ascii="Times New Roman" w:hAnsi="Times New Roman"/>
                <w:szCs w:val="21"/>
              </w:rPr>
              <w:t>2</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vAlign w:val="center"/>
          </w:tcPr>
          <w:p>
            <w:pPr>
              <w:pStyle w:val="40"/>
              <w:rPr>
                <w:rFonts w:ascii="Times New Roman" w:hAnsi="Times New Roman"/>
                <w:szCs w:val="21"/>
              </w:rPr>
            </w:pPr>
            <w:r>
              <w:rPr>
                <w:rFonts w:ascii="Times New Roman" w:hAnsi="Times New Roman"/>
                <w:szCs w:val="21"/>
              </w:rPr>
              <w:t>2</w:t>
            </w:r>
          </w:p>
        </w:tc>
        <w:tc>
          <w:tcPr>
            <w:tcW w:w="840" w:type="dxa"/>
            <w:vMerge w:val="restart"/>
            <w:vAlign w:val="center"/>
          </w:tcPr>
          <w:p>
            <w:pPr>
              <w:pStyle w:val="40"/>
              <w:rPr>
                <w:rFonts w:ascii="Times New Roman" w:hAnsi="Times New Roman"/>
                <w:szCs w:val="21"/>
              </w:rPr>
            </w:pPr>
            <w:r>
              <w:rPr>
                <w:rFonts w:ascii="Times New Roman" w:hAnsi="Times New Roman"/>
                <w:szCs w:val="21"/>
              </w:rPr>
              <w:t>食品加工加工实训室</w:t>
            </w:r>
          </w:p>
        </w:tc>
        <w:tc>
          <w:tcPr>
            <w:tcW w:w="960" w:type="dxa"/>
            <w:vMerge w:val="restart"/>
            <w:vAlign w:val="center"/>
          </w:tcPr>
          <w:p>
            <w:pPr>
              <w:pStyle w:val="40"/>
              <w:rPr>
                <w:rFonts w:ascii="Times New Roman" w:hAnsi="Times New Roman"/>
                <w:szCs w:val="21"/>
              </w:rPr>
            </w:pPr>
            <w:r>
              <w:rPr>
                <w:rFonts w:ascii="Times New Roman" w:hAnsi="Times New Roman"/>
                <w:szCs w:val="21"/>
              </w:rPr>
              <w:t>286</w:t>
            </w:r>
          </w:p>
        </w:tc>
        <w:tc>
          <w:tcPr>
            <w:tcW w:w="1200" w:type="dxa"/>
            <w:vMerge w:val="restart"/>
            <w:vAlign w:val="center"/>
          </w:tcPr>
          <w:p>
            <w:pPr>
              <w:pStyle w:val="40"/>
              <w:rPr>
                <w:rFonts w:ascii="Times New Roman" w:hAnsi="Times New Roman"/>
                <w:szCs w:val="21"/>
              </w:rPr>
            </w:pPr>
            <w:r>
              <w:rPr>
                <w:rFonts w:ascii="Times New Roman" w:hAnsi="Times New Roman"/>
                <w:szCs w:val="21"/>
              </w:rPr>
              <w:t>15.2</w:t>
            </w:r>
          </w:p>
        </w:tc>
        <w:tc>
          <w:tcPr>
            <w:tcW w:w="1320" w:type="dxa"/>
            <w:vAlign w:val="center"/>
          </w:tcPr>
          <w:p>
            <w:pPr>
              <w:pStyle w:val="40"/>
              <w:rPr>
                <w:rFonts w:ascii="Times New Roman" w:hAnsi="Times New Roman"/>
                <w:szCs w:val="21"/>
              </w:rPr>
            </w:pPr>
            <w:r>
              <w:rPr>
                <w:rFonts w:ascii="Times New Roman" w:hAnsi="Times New Roman"/>
                <w:szCs w:val="21"/>
              </w:rPr>
              <w:t>远红外烤箱</w:t>
            </w:r>
          </w:p>
        </w:tc>
        <w:tc>
          <w:tcPr>
            <w:tcW w:w="1200" w:type="dxa"/>
            <w:vAlign w:val="center"/>
          </w:tcPr>
          <w:p>
            <w:pPr>
              <w:pStyle w:val="40"/>
              <w:rPr>
                <w:rFonts w:ascii="Times New Roman" w:hAnsi="Times New Roman"/>
                <w:szCs w:val="21"/>
              </w:rPr>
            </w:pPr>
            <w:r>
              <w:rPr>
                <w:rFonts w:ascii="Times New Roman" w:hAnsi="Times New Roman"/>
                <w:szCs w:val="21"/>
              </w:rPr>
              <w:t>0.5</w:t>
            </w:r>
          </w:p>
        </w:tc>
        <w:tc>
          <w:tcPr>
            <w:tcW w:w="960" w:type="dxa"/>
            <w:vAlign w:val="center"/>
          </w:tcPr>
          <w:p>
            <w:pPr>
              <w:pStyle w:val="40"/>
              <w:rPr>
                <w:rFonts w:ascii="Times New Roman" w:hAnsi="Times New Roman"/>
                <w:szCs w:val="21"/>
              </w:rPr>
            </w:pPr>
            <w:r>
              <w:rPr>
                <w:rFonts w:ascii="Times New Roman" w:hAnsi="Times New Roman"/>
                <w:szCs w:val="21"/>
              </w:rPr>
              <w:t>6</w:t>
            </w:r>
          </w:p>
        </w:tc>
        <w:tc>
          <w:tcPr>
            <w:tcW w:w="1454" w:type="dxa"/>
            <w:vMerge w:val="restart"/>
            <w:vAlign w:val="center"/>
          </w:tcPr>
          <w:p>
            <w:pPr>
              <w:pStyle w:val="40"/>
              <w:rPr>
                <w:rFonts w:ascii="Times New Roman" w:hAnsi="Times New Roman"/>
                <w:szCs w:val="21"/>
              </w:rPr>
            </w:pPr>
            <w:r>
              <w:rPr>
                <w:rFonts w:ascii="Times New Roman" w:hAnsi="Times New Roman"/>
                <w:szCs w:val="21"/>
              </w:rPr>
              <w:t>1.烘焙食品加工2.发酵食品加工3.灌肠类肉制品加工4.卤制类肉制品加工5.肉丸加工6.熏蒸类肉制品加工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多功能搅拌机</w:t>
            </w:r>
          </w:p>
        </w:tc>
        <w:tc>
          <w:tcPr>
            <w:tcW w:w="1200" w:type="dxa"/>
            <w:vAlign w:val="center"/>
          </w:tcPr>
          <w:p>
            <w:pPr>
              <w:pStyle w:val="40"/>
              <w:rPr>
                <w:rFonts w:ascii="Times New Roman" w:hAnsi="Times New Roman"/>
                <w:szCs w:val="21"/>
              </w:rPr>
            </w:pPr>
            <w:r>
              <w:rPr>
                <w:rFonts w:ascii="Times New Roman" w:hAnsi="Times New Roman"/>
                <w:szCs w:val="21"/>
              </w:rPr>
              <w:t>0.3</w:t>
            </w:r>
          </w:p>
        </w:tc>
        <w:tc>
          <w:tcPr>
            <w:tcW w:w="960" w:type="dxa"/>
            <w:vAlign w:val="center"/>
          </w:tcPr>
          <w:p>
            <w:pPr>
              <w:pStyle w:val="40"/>
              <w:rPr>
                <w:rFonts w:ascii="Times New Roman" w:hAnsi="Times New Roman"/>
                <w:szCs w:val="21"/>
              </w:rPr>
            </w:pPr>
            <w:r>
              <w:rPr>
                <w:rFonts w:ascii="Times New Roman" w:hAnsi="Times New Roman"/>
                <w:szCs w:val="21"/>
              </w:rPr>
              <w:t>4</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斩拌机</w:t>
            </w:r>
          </w:p>
        </w:tc>
        <w:tc>
          <w:tcPr>
            <w:tcW w:w="1200" w:type="dxa"/>
            <w:vAlign w:val="center"/>
          </w:tcPr>
          <w:p>
            <w:pPr>
              <w:pStyle w:val="40"/>
              <w:rPr>
                <w:rFonts w:ascii="Times New Roman" w:hAnsi="Times New Roman"/>
                <w:szCs w:val="21"/>
              </w:rPr>
            </w:pPr>
            <w:r>
              <w:rPr>
                <w:rFonts w:ascii="Times New Roman" w:hAnsi="Times New Roman"/>
                <w:szCs w:val="21"/>
              </w:rPr>
              <w:t>1.2</w:t>
            </w:r>
          </w:p>
        </w:tc>
        <w:tc>
          <w:tcPr>
            <w:tcW w:w="960" w:type="dxa"/>
            <w:vAlign w:val="center"/>
          </w:tcPr>
          <w:p>
            <w:pPr>
              <w:pStyle w:val="40"/>
              <w:rPr>
                <w:rFonts w:ascii="Times New Roman" w:hAnsi="Times New Roman"/>
                <w:szCs w:val="21"/>
              </w:rPr>
            </w:pPr>
            <w:r>
              <w:rPr>
                <w:rFonts w:ascii="Times New Roman" w:hAnsi="Times New Roman"/>
                <w:szCs w:val="21"/>
              </w:rPr>
              <w:t>2</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醒发箱</w:t>
            </w:r>
          </w:p>
        </w:tc>
        <w:tc>
          <w:tcPr>
            <w:tcW w:w="1200" w:type="dxa"/>
            <w:vAlign w:val="center"/>
          </w:tcPr>
          <w:p>
            <w:pPr>
              <w:pStyle w:val="40"/>
              <w:rPr>
                <w:rFonts w:ascii="Times New Roman" w:hAnsi="Times New Roman"/>
                <w:szCs w:val="21"/>
              </w:rPr>
            </w:pPr>
            <w:r>
              <w:rPr>
                <w:rFonts w:ascii="Times New Roman" w:hAnsi="Times New Roman"/>
                <w:szCs w:val="21"/>
              </w:rPr>
              <w:t>0.1</w:t>
            </w:r>
          </w:p>
        </w:tc>
        <w:tc>
          <w:tcPr>
            <w:tcW w:w="960" w:type="dxa"/>
            <w:vAlign w:val="center"/>
          </w:tcPr>
          <w:p>
            <w:pPr>
              <w:pStyle w:val="40"/>
              <w:rPr>
                <w:rFonts w:ascii="Times New Roman" w:hAnsi="Times New Roman"/>
                <w:szCs w:val="21"/>
              </w:rPr>
            </w:pPr>
            <w:r>
              <w:rPr>
                <w:rFonts w:ascii="Times New Roman" w:hAnsi="Times New Roman"/>
                <w:szCs w:val="21"/>
              </w:rPr>
              <w:t>4</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灌肠机</w:t>
            </w:r>
          </w:p>
        </w:tc>
        <w:tc>
          <w:tcPr>
            <w:tcW w:w="1200" w:type="dxa"/>
            <w:vAlign w:val="center"/>
          </w:tcPr>
          <w:p>
            <w:pPr>
              <w:pStyle w:val="40"/>
              <w:rPr>
                <w:rFonts w:ascii="Times New Roman" w:hAnsi="Times New Roman"/>
                <w:szCs w:val="21"/>
              </w:rPr>
            </w:pPr>
            <w:r>
              <w:rPr>
                <w:rFonts w:ascii="Times New Roman" w:hAnsi="Times New Roman"/>
                <w:szCs w:val="21"/>
              </w:rPr>
              <w:t>0.3</w:t>
            </w:r>
          </w:p>
        </w:tc>
        <w:tc>
          <w:tcPr>
            <w:tcW w:w="960" w:type="dxa"/>
            <w:vAlign w:val="center"/>
          </w:tcPr>
          <w:p>
            <w:pPr>
              <w:pStyle w:val="40"/>
              <w:rPr>
                <w:rFonts w:ascii="Times New Roman" w:hAnsi="Times New Roman"/>
                <w:szCs w:val="21"/>
              </w:rPr>
            </w:pPr>
            <w:r>
              <w:rPr>
                <w:rFonts w:ascii="Times New Roman" w:hAnsi="Times New Roman"/>
                <w:szCs w:val="21"/>
              </w:rPr>
              <w:t>6</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vAlign w:val="center"/>
          </w:tcPr>
          <w:p>
            <w:pPr>
              <w:pStyle w:val="40"/>
              <w:rPr>
                <w:rFonts w:ascii="Times New Roman" w:hAnsi="Times New Roman"/>
                <w:szCs w:val="21"/>
              </w:rPr>
            </w:pPr>
            <w:r>
              <w:rPr>
                <w:rFonts w:ascii="Times New Roman" w:hAnsi="Times New Roman"/>
                <w:szCs w:val="21"/>
              </w:rPr>
              <w:t>3</w:t>
            </w:r>
          </w:p>
        </w:tc>
        <w:tc>
          <w:tcPr>
            <w:tcW w:w="840" w:type="dxa"/>
            <w:vMerge w:val="restart"/>
            <w:vAlign w:val="center"/>
          </w:tcPr>
          <w:p>
            <w:pPr>
              <w:pStyle w:val="40"/>
              <w:rPr>
                <w:rFonts w:ascii="Times New Roman" w:hAnsi="Times New Roman"/>
                <w:szCs w:val="21"/>
              </w:rPr>
            </w:pPr>
            <w:r>
              <w:rPr>
                <w:rFonts w:ascii="Times New Roman" w:hAnsi="Times New Roman"/>
                <w:szCs w:val="21"/>
              </w:rPr>
              <w:t>微生 物实训</w:t>
            </w:r>
          </w:p>
          <w:p>
            <w:pPr>
              <w:pStyle w:val="40"/>
              <w:rPr>
                <w:rFonts w:ascii="Times New Roman" w:hAnsi="Times New Roman"/>
                <w:szCs w:val="21"/>
              </w:rPr>
            </w:pPr>
            <w:r>
              <w:rPr>
                <w:rFonts w:ascii="Times New Roman" w:hAnsi="Times New Roman"/>
                <w:szCs w:val="21"/>
              </w:rPr>
              <w:t>室</w:t>
            </w:r>
          </w:p>
        </w:tc>
        <w:tc>
          <w:tcPr>
            <w:tcW w:w="960" w:type="dxa"/>
            <w:vMerge w:val="restart"/>
            <w:vAlign w:val="center"/>
          </w:tcPr>
          <w:p>
            <w:pPr>
              <w:pStyle w:val="40"/>
              <w:rPr>
                <w:rFonts w:ascii="Times New Roman" w:hAnsi="Times New Roman"/>
                <w:szCs w:val="21"/>
              </w:rPr>
            </w:pPr>
            <w:r>
              <w:rPr>
                <w:rFonts w:ascii="Times New Roman" w:hAnsi="Times New Roman"/>
                <w:szCs w:val="21"/>
              </w:rPr>
              <w:t>286</w:t>
            </w:r>
          </w:p>
        </w:tc>
        <w:tc>
          <w:tcPr>
            <w:tcW w:w="1200" w:type="dxa"/>
            <w:vMerge w:val="restart"/>
            <w:vAlign w:val="center"/>
          </w:tcPr>
          <w:p>
            <w:pPr>
              <w:pStyle w:val="40"/>
              <w:rPr>
                <w:rFonts w:ascii="Times New Roman" w:hAnsi="Times New Roman"/>
                <w:szCs w:val="21"/>
              </w:rPr>
            </w:pPr>
            <w:r>
              <w:rPr>
                <w:rFonts w:ascii="Times New Roman" w:hAnsi="Times New Roman"/>
                <w:szCs w:val="21"/>
              </w:rPr>
              <w:t>12.4</w:t>
            </w:r>
          </w:p>
        </w:tc>
        <w:tc>
          <w:tcPr>
            <w:tcW w:w="1320" w:type="dxa"/>
            <w:vAlign w:val="center"/>
          </w:tcPr>
          <w:p>
            <w:pPr>
              <w:pStyle w:val="40"/>
              <w:rPr>
                <w:rFonts w:ascii="Times New Roman" w:hAnsi="Times New Roman"/>
                <w:szCs w:val="21"/>
              </w:rPr>
            </w:pPr>
            <w:r>
              <w:rPr>
                <w:rFonts w:ascii="Times New Roman" w:hAnsi="Times New Roman"/>
                <w:szCs w:val="21"/>
              </w:rPr>
              <w:t>显微镜</w:t>
            </w:r>
          </w:p>
        </w:tc>
        <w:tc>
          <w:tcPr>
            <w:tcW w:w="1200" w:type="dxa"/>
            <w:vAlign w:val="center"/>
          </w:tcPr>
          <w:p>
            <w:pPr>
              <w:pStyle w:val="40"/>
              <w:rPr>
                <w:rFonts w:ascii="Times New Roman" w:hAnsi="Times New Roman"/>
                <w:szCs w:val="21"/>
              </w:rPr>
            </w:pPr>
            <w:r>
              <w:rPr>
                <w:rFonts w:ascii="Times New Roman" w:hAnsi="Times New Roman"/>
                <w:szCs w:val="21"/>
              </w:rPr>
              <w:t>0.3</w:t>
            </w:r>
          </w:p>
        </w:tc>
        <w:tc>
          <w:tcPr>
            <w:tcW w:w="960" w:type="dxa"/>
            <w:vAlign w:val="center"/>
          </w:tcPr>
          <w:p>
            <w:pPr>
              <w:pStyle w:val="40"/>
              <w:rPr>
                <w:rFonts w:ascii="Times New Roman" w:hAnsi="Times New Roman"/>
                <w:szCs w:val="21"/>
              </w:rPr>
            </w:pPr>
            <w:r>
              <w:rPr>
                <w:rFonts w:ascii="Times New Roman" w:hAnsi="Times New Roman"/>
                <w:szCs w:val="21"/>
              </w:rPr>
              <w:t>30</w:t>
            </w:r>
          </w:p>
        </w:tc>
        <w:tc>
          <w:tcPr>
            <w:tcW w:w="1454" w:type="dxa"/>
            <w:vMerge w:val="restart"/>
            <w:vAlign w:val="center"/>
          </w:tcPr>
          <w:p>
            <w:pPr>
              <w:pStyle w:val="40"/>
              <w:rPr>
                <w:rFonts w:ascii="Times New Roman" w:hAnsi="Times New Roman"/>
                <w:szCs w:val="21"/>
              </w:rPr>
            </w:pPr>
            <w:r>
              <w:rPr>
                <w:rFonts w:ascii="Times New Roman" w:hAnsi="Times New Roman"/>
                <w:szCs w:val="21"/>
              </w:rPr>
              <w:t>1.食品微生物分析、培养</w:t>
            </w:r>
          </w:p>
          <w:p>
            <w:pPr>
              <w:pStyle w:val="40"/>
              <w:rPr>
                <w:rFonts w:ascii="Times New Roman" w:hAnsi="Times New Roman"/>
                <w:szCs w:val="21"/>
              </w:rPr>
            </w:pPr>
            <w:r>
              <w:rPr>
                <w:rFonts w:ascii="Times New Roman" w:hAnsi="Times New Roman"/>
                <w:szCs w:val="21"/>
              </w:rPr>
              <w:t>2食品微生物分离、鉴定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冰箱</w:t>
            </w:r>
          </w:p>
        </w:tc>
        <w:tc>
          <w:tcPr>
            <w:tcW w:w="1200" w:type="dxa"/>
            <w:vAlign w:val="center"/>
          </w:tcPr>
          <w:p>
            <w:pPr>
              <w:pStyle w:val="40"/>
              <w:rPr>
                <w:rFonts w:ascii="Times New Roman" w:hAnsi="Times New Roman"/>
                <w:szCs w:val="21"/>
              </w:rPr>
            </w:pPr>
            <w:r>
              <w:rPr>
                <w:rFonts w:ascii="Times New Roman" w:hAnsi="Times New Roman"/>
                <w:szCs w:val="21"/>
              </w:rPr>
              <w:t>0.6</w:t>
            </w:r>
          </w:p>
        </w:tc>
        <w:tc>
          <w:tcPr>
            <w:tcW w:w="960" w:type="dxa"/>
            <w:vAlign w:val="center"/>
          </w:tcPr>
          <w:p>
            <w:pPr>
              <w:pStyle w:val="40"/>
              <w:rPr>
                <w:rFonts w:ascii="Times New Roman" w:hAnsi="Times New Roman"/>
                <w:szCs w:val="21"/>
              </w:rPr>
            </w:pPr>
            <w:r>
              <w:rPr>
                <w:rFonts w:ascii="Times New Roman" w:hAnsi="Times New Roman"/>
                <w:szCs w:val="21"/>
              </w:rPr>
              <w:t>1</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高压灭菌锅</w:t>
            </w:r>
          </w:p>
        </w:tc>
        <w:tc>
          <w:tcPr>
            <w:tcW w:w="1200" w:type="dxa"/>
            <w:vAlign w:val="center"/>
          </w:tcPr>
          <w:p>
            <w:pPr>
              <w:pStyle w:val="40"/>
              <w:rPr>
                <w:rFonts w:ascii="Times New Roman" w:hAnsi="Times New Roman"/>
                <w:szCs w:val="21"/>
              </w:rPr>
            </w:pPr>
            <w:r>
              <w:rPr>
                <w:rFonts w:ascii="Times New Roman" w:hAnsi="Times New Roman"/>
                <w:szCs w:val="21"/>
              </w:rPr>
              <w:t>0.8</w:t>
            </w:r>
          </w:p>
        </w:tc>
        <w:tc>
          <w:tcPr>
            <w:tcW w:w="960" w:type="dxa"/>
            <w:vAlign w:val="center"/>
          </w:tcPr>
          <w:p>
            <w:pPr>
              <w:pStyle w:val="40"/>
              <w:rPr>
                <w:rFonts w:ascii="Times New Roman" w:hAnsi="Times New Roman"/>
                <w:szCs w:val="21"/>
              </w:rPr>
            </w:pPr>
            <w:r>
              <w:rPr>
                <w:rFonts w:ascii="Times New Roman" w:hAnsi="Times New Roman"/>
                <w:szCs w:val="21"/>
              </w:rPr>
              <w:t>3</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培养箱</w:t>
            </w:r>
          </w:p>
        </w:tc>
        <w:tc>
          <w:tcPr>
            <w:tcW w:w="1200" w:type="dxa"/>
            <w:vAlign w:val="center"/>
          </w:tcPr>
          <w:p>
            <w:pPr>
              <w:pStyle w:val="40"/>
              <w:rPr>
                <w:rFonts w:ascii="Times New Roman" w:hAnsi="Times New Roman"/>
                <w:szCs w:val="21"/>
              </w:rPr>
            </w:pPr>
            <w:r>
              <w:rPr>
                <w:rFonts w:ascii="Times New Roman" w:hAnsi="Times New Roman"/>
                <w:szCs w:val="21"/>
              </w:rPr>
              <w:t>0.52</w:t>
            </w:r>
          </w:p>
        </w:tc>
        <w:tc>
          <w:tcPr>
            <w:tcW w:w="960" w:type="dxa"/>
            <w:vAlign w:val="center"/>
          </w:tcPr>
          <w:p>
            <w:pPr>
              <w:pStyle w:val="40"/>
              <w:rPr>
                <w:rFonts w:ascii="Times New Roman" w:hAnsi="Times New Roman"/>
                <w:szCs w:val="21"/>
              </w:rPr>
            </w:pPr>
            <w:r>
              <w:rPr>
                <w:rFonts w:ascii="Times New Roman" w:hAnsi="Times New Roman"/>
                <w:szCs w:val="21"/>
              </w:rPr>
              <w:t>3</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高速离心机</w:t>
            </w:r>
          </w:p>
        </w:tc>
        <w:tc>
          <w:tcPr>
            <w:tcW w:w="1200" w:type="dxa"/>
            <w:vAlign w:val="center"/>
          </w:tcPr>
          <w:p>
            <w:pPr>
              <w:pStyle w:val="40"/>
              <w:rPr>
                <w:rFonts w:ascii="Times New Roman" w:hAnsi="Times New Roman"/>
                <w:szCs w:val="21"/>
              </w:rPr>
            </w:pPr>
            <w:r>
              <w:rPr>
                <w:rFonts w:ascii="Times New Roman" w:hAnsi="Times New Roman"/>
                <w:szCs w:val="21"/>
              </w:rPr>
              <w:t>1.6</w:t>
            </w:r>
          </w:p>
        </w:tc>
        <w:tc>
          <w:tcPr>
            <w:tcW w:w="960" w:type="dxa"/>
            <w:vAlign w:val="center"/>
          </w:tcPr>
          <w:p>
            <w:pPr>
              <w:pStyle w:val="40"/>
              <w:rPr>
                <w:rFonts w:ascii="Times New Roman" w:hAnsi="Times New Roman"/>
                <w:szCs w:val="21"/>
              </w:rPr>
            </w:pPr>
            <w:r>
              <w:rPr>
                <w:rFonts w:ascii="Times New Roman" w:hAnsi="Times New Roman"/>
                <w:szCs w:val="21"/>
              </w:rPr>
              <w:t>2</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restart"/>
            <w:vAlign w:val="center"/>
          </w:tcPr>
          <w:p>
            <w:pPr>
              <w:pStyle w:val="40"/>
              <w:rPr>
                <w:rFonts w:ascii="Times New Roman" w:hAnsi="Times New Roman"/>
                <w:szCs w:val="21"/>
              </w:rPr>
            </w:pPr>
            <w:r>
              <w:rPr>
                <w:rFonts w:ascii="Times New Roman" w:hAnsi="Times New Roman"/>
                <w:szCs w:val="21"/>
              </w:rPr>
              <w:t>4</w:t>
            </w:r>
          </w:p>
        </w:tc>
        <w:tc>
          <w:tcPr>
            <w:tcW w:w="840" w:type="dxa"/>
            <w:vMerge w:val="restart"/>
            <w:vAlign w:val="center"/>
          </w:tcPr>
          <w:p>
            <w:pPr>
              <w:pStyle w:val="40"/>
              <w:rPr>
                <w:rFonts w:ascii="Times New Roman" w:hAnsi="Times New Roman"/>
                <w:szCs w:val="21"/>
              </w:rPr>
            </w:pPr>
            <w:r>
              <w:rPr>
                <w:rFonts w:ascii="Times New Roman" w:hAnsi="Times New Roman"/>
                <w:szCs w:val="21"/>
              </w:rPr>
              <w:t>仪器分析实训室</w:t>
            </w:r>
          </w:p>
        </w:tc>
        <w:tc>
          <w:tcPr>
            <w:tcW w:w="960" w:type="dxa"/>
            <w:vMerge w:val="restart"/>
            <w:vAlign w:val="center"/>
          </w:tcPr>
          <w:p>
            <w:pPr>
              <w:pStyle w:val="40"/>
              <w:rPr>
                <w:rFonts w:ascii="Times New Roman" w:hAnsi="Times New Roman"/>
                <w:szCs w:val="21"/>
              </w:rPr>
            </w:pPr>
            <w:r>
              <w:rPr>
                <w:rFonts w:ascii="Times New Roman" w:hAnsi="Times New Roman"/>
                <w:szCs w:val="21"/>
              </w:rPr>
              <w:t>286</w:t>
            </w:r>
          </w:p>
        </w:tc>
        <w:tc>
          <w:tcPr>
            <w:tcW w:w="1200" w:type="dxa"/>
            <w:vMerge w:val="restart"/>
            <w:vAlign w:val="center"/>
          </w:tcPr>
          <w:p>
            <w:pPr>
              <w:pStyle w:val="40"/>
              <w:rPr>
                <w:rFonts w:ascii="Times New Roman" w:hAnsi="Times New Roman"/>
                <w:szCs w:val="21"/>
              </w:rPr>
            </w:pPr>
            <w:r>
              <w:rPr>
                <w:rFonts w:hint="eastAsia" w:ascii="Times New Roman" w:hAnsi="Times New Roman"/>
                <w:szCs w:val="21"/>
                <w:lang w:val="en-US" w:eastAsia="zh-CN"/>
              </w:rPr>
              <w:t>372.5</w:t>
            </w:r>
          </w:p>
        </w:tc>
        <w:tc>
          <w:tcPr>
            <w:tcW w:w="1320" w:type="dxa"/>
            <w:vAlign w:val="center"/>
          </w:tcPr>
          <w:p>
            <w:pPr>
              <w:pStyle w:val="40"/>
              <w:rPr>
                <w:rFonts w:ascii="Times New Roman" w:hAnsi="Times New Roman"/>
                <w:szCs w:val="21"/>
              </w:rPr>
            </w:pPr>
            <w:r>
              <w:rPr>
                <w:rFonts w:ascii="Times New Roman" w:hAnsi="Times New Roman"/>
                <w:szCs w:val="21"/>
              </w:rPr>
              <w:t>气相色谱</w:t>
            </w:r>
            <w:r>
              <w:rPr>
                <w:rFonts w:hint="eastAsia" w:ascii="Times New Roman" w:hAnsi="Times New Roman"/>
                <w:szCs w:val="21"/>
                <w:lang w:val="en-US" w:eastAsia="zh-CN"/>
              </w:rPr>
              <w:t>质谱联用仪</w:t>
            </w:r>
          </w:p>
        </w:tc>
        <w:tc>
          <w:tcPr>
            <w:tcW w:w="1200" w:type="dxa"/>
            <w:vAlign w:val="center"/>
          </w:tcPr>
          <w:p>
            <w:pPr>
              <w:pStyle w:val="40"/>
              <w:rPr>
                <w:rFonts w:ascii="Times New Roman" w:hAnsi="Times New Roman"/>
                <w:szCs w:val="21"/>
              </w:rPr>
            </w:pPr>
            <w:r>
              <w:rPr>
                <w:rFonts w:hint="eastAsia" w:ascii="Times New Roman" w:hAnsi="Times New Roman"/>
                <w:szCs w:val="21"/>
                <w:lang w:val="en-US" w:eastAsia="zh-CN"/>
              </w:rPr>
              <w:t>82.9</w:t>
            </w:r>
          </w:p>
        </w:tc>
        <w:tc>
          <w:tcPr>
            <w:tcW w:w="960" w:type="dxa"/>
            <w:vAlign w:val="center"/>
          </w:tcPr>
          <w:p>
            <w:pPr>
              <w:pStyle w:val="40"/>
              <w:rPr>
                <w:rFonts w:ascii="Times New Roman" w:hAnsi="Times New Roman"/>
                <w:szCs w:val="21"/>
              </w:rPr>
            </w:pPr>
            <w:r>
              <w:rPr>
                <w:rFonts w:ascii="Times New Roman" w:hAnsi="Times New Roman"/>
                <w:szCs w:val="21"/>
              </w:rPr>
              <w:t>1</w:t>
            </w:r>
          </w:p>
        </w:tc>
        <w:tc>
          <w:tcPr>
            <w:tcW w:w="1454" w:type="dxa"/>
            <w:vMerge w:val="restart"/>
            <w:vAlign w:val="center"/>
          </w:tcPr>
          <w:p>
            <w:pPr>
              <w:pStyle w:val="40"/>
              <w:rPr>
                <w:rFonts w:ascii="Times New Roman" w:hAnsi="Times New Roman"/>
                <w:szCs w:val="21"/>
              </w:rPr>
            </w:pPr>
            <w:r>
              <w:rPr>
                <w:rFonts w:ascii="Times New Roman" w:hAnsi="Times New Roman"/>
                <w:szCs w:val="21"/>
              </w:rPr>
              <w:t>1.原材料成份检测</w:t>
            </w:r>
          </w:p>
          <w:p>
            <w:pPr>
              <w:pStyle w:val="40"/>
              <w:rPr>
                <w:rFonts w:ascii="Times New Roman" w:hAnsi="Times New Roman"/>
                <w:szCs w:val="21"/>
              </w:rPr>
            </w:pPr>
            <w:r>
              <w:rPr>
                <w:rFonts w:ascii="Times New Roman" w:hAnsi="Times New Roman"/>
                <w:szCs w:val="21"/>
              </w:rPr>
              <w:t>2.加工助剂检测</w:t>
            </w:r>
          </w:p>
          <w:p>
            <w:pPr>
              <w:pStyle w:val="40"/>
              <w:rPr>
                <w:rFonts w:ascii="Times New Roman" w:hAnsi="Times New Roman"/>
                <w:szCs w:val="21"/>
              </w:rPr>
            </w:pPr>
            <w:r>
              <w:rPr>
                <w:rFonts w:ascii="Times New Roman" w:hAnsi="Times New Roman"/>
                <w:szCs w:val="21"/>
              </w:rPr>
              <w:t>3.农药残留检测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液相色谱</w:t>
            </w:r>
            <w:r>
              <w:rPr>
                <w:rFonts w:hint="eastAsia" w:ascii="Times New Roman" w:hAnsi="Times New Roman"/>
                <w:szCs w:val="21"/>
                <w:lang w:val="en-US" w:eastAsia="zh-CN"/>
              </w:rPr>
              <w:t>仪</w:t>
            </w:r>
          </w:p>
        </w:tc>
        <w:tc>
          <w:tcPr>
            <w:tcW w:w="1200" w:type="dxa"/>
            <w:vAlign w:val="center"/>
          </w:tcPr>
          <w:p>
            <w:pPr>
              <w:pStyle w:val="40"/>
              <w:rPr>
                <w:rFonts w:ascii="Times New Roman" w:hAnsi="Times New Roman"/>
                <w:szCs w:val="21"/>
              </w:rPr>
            </w:pPr>
            <w:r>
              <w:rPr>
                <w:rFonts w:hint="eastAsia" w:ascii="Times New Roman" w:hAnsi="Times New Roman"/>
                <w:szCs w:val="21"/>
                <w:lang w:val="en-US" w:eastAsia="zh-CN"/>
              </w:rPr>
              <w:t>68.3</w:t>
            </w:r>
          </w:p>
        </w:tc>
        <w:tc>
          <w:tcPr>
            <w:tcW w:w="960" w:type="dxa"/>
            <w:vAlign w:val="center"/>
          </w:tcPr>
          <w:p>
            <w:pPr>
              <w:pStyle w:val="40"/>
              <w:rPr>
                <w:rFonts w:ascii="Times New Roman" w:hAnsi="Times New Roman"/>
                <w:szCs w:val="21"/>
              </w:rPr>
            </w:pPr>
            <w:r>
              <w:rPr>
                <w:rFonts w:ascii="Times New Roman" w:hAnsi="Times New Roman"/>
                <w:szCs w:val="21"/>
              </w:rPr>
              <w:t>1</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原子吸收分光光度计</w:t>
            </w:r>
          </w:p>
        </w:tc>
        <w:tc>
          <w:tcPr>
            <w:tcW w:w="1200" w:type="dxa"/>
            <w:vAlign w:val="center"/>
          </w:tcPr>
          <w:p>
            <w:pPr>
              <w:pStyle w:val="40"/>
              <w:rPr>
                <w:rFonts w:ascii="Times New Roman" w:hAnsi="Times New Roman"/>
                <w:szCs w:val="21"/>
              </w:rPr>
            </w:pPr>
            <w:r>
              <w:rPr>
                <w:rFonts w:ascii="Times New Roman" w:hAnsi="Times New Roman"/>
                <w:szCs w:val="21"/>
              </w:rPr>
              <w:t>22.8</w:t>
            </w:r>
          </w:p>
        </w:tc>
        <w:tc>
          <w:tcPr>
            <w:tcW w:w="960" w:type="dxa"/>
            <w:vAlign w:val="center"/>
          </w:tcPr>
          <w:p>
            <w:pPr>
              <w:pStyle w:val="40"/>
              <w:rPr>
                <w:rFonts w:ascii="Times New Roman" w:hAnsi="Times New Roman"/>
                <w:szCs w:val="21"/>
              </w:rPr>
            </w:pPr>
            <w:r>
              <w:rPr>
                <w:rFonts w:ascii="Times New Roman" w:hAnsi="Times New Roman"/>
                <w:szCs w:val="21"/>
              </w:rPr>
              <w:t>1</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红外分光光度计</w:t>
            </w:r>
          </w:p>
        </w:tc>
        <w:tc>
          <w:tcPr>
            <w:tcW w:w="1200" w:type="dxa"/>
            <w:vAlign w:val="center"/>
          </w:tcPr>
          <w:p>
            <w:pPr>
              <w:pStyle w:val="40"/>
              <w:rPr>
                <w:rFonts w:ascii="Times New Roman" w:hAnsi="Times New Roman"/>
                <w:szCs w:val="21"/>
              </w:rPr>
            </w:pPr>
            <w:r>
              <w:rPr>
                <w:rFonts w:ascii="Times New Roman" w:hAnsi="Times New Roman"/>
                <w:szCs w:val="21"/>
              </w:rPr>
              <w:t>21.6</w:t>
            </w:r>
          </w:p>
        </w:tc>
        <w:tc>
          <w:tcPr>
            <w:tcW w:w="960" w:type="dxa"/>
            <w:vAlign w:val="center"/>
          </w:tcPr>
          <w:p>
            <w:pPr>
              <w:pStyle w:val="40"/>
              <w:rPr>
                <w:rFonts w:ascii="Times New Roman" w:hAnsi="Times New Roman"/>
                <w:szCs w:val="21"/>
              </w:rPr>
            </w:pPr>
            <w:r>
              <w:rPr>
                <w:rFonts w:ascii="Times New Roman" w:hAnsi="Times New Roman"/>
                <w:szCs w:val="21"/>
              </w:rPr>
              <w:t>1</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荧光分光光度计</w:t>
            </w:r>
          </w:p>
        </w:tc>
        <w:tc>
          <w:tcPr>
            <w:tcW w:w="1200" w:type="dxa"/>
            <w:vAlign w:val="center"/>
          </w:tcPr>
          <w:p>
            <w:pPr>
              <w:pStyle w:val="40"/>
              <w:rPr>
                <w:rFonts w:ascii="Times New Roman" w:hAnsi="Times New Roman"/>
                <w:szCs w:val="21"/>
              </w:rPr>
            </w:pPr>
            <w:r>
              <w:rPr>
                <w:rFonts w:ascii="Times New Roman" w:hAnsi="Times New Roman"/>
                <w:szCs w:val="21"/>
              </w:rPr>
              <w:t>32.6</w:t>
            </w:r>
          </w:p>
        </w:tc>
        <w:tc>
          <w:tcPr>
            <w:tcW w:w="960" w:type="dxa"/>
            <w:vAlign w:val="center"/>
          </w:tcPr>
          <w:p>
            <w:pPr>
              <w:pStyle w:val="40"/>
              <w:rPr>
                <w:rFonts w:ascii="Times New Roman" w:hAnsi="Times New Roman"/>
                <w:szCs w:val="21"/>
              </w:rPr>
            </w:pPr>
            <w:r>
              <w:rPr>
                <w:rFonts w:ascii="Times New Roman" w:hAnsi="Times New Roman"/>
                <w:szCs w:val="21"/>
              </w:rPr>
              <w:t>1</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ascii="Times New Roman" w:hAnsi="Times New Roman"/>
                <w:szCs w:val="21"/>
              </w:rPr>
            </w:pPr>
            <w:r>
              <w:rPr>
                <w:rFonts w:ascii="Times New Roman" w:hAnsi="Times New Roman"/>
                <w:szCs w:val="21"/>
              </w:rPr>
              <w:t>紫外分光光度计</w:t>
            </w:r>
          </w:p>
        </w:tc>
        <w:tc>
          <w:tcPr>
            <w:tcW w:w="1200" w:type="dxa"/>
            <w:vAlign w:val="center"/>
          </w:tcPr>
          <w:p>
            <w:pPr>
              <w:pStyle w:val="40"/>
              <w:rPr>
                <w:rFonts w:ascii="Times New Roman" w:hAnsi="Times New Roman"/>
                <w:szCs w:val="21"/>
              </w:rPr>
            </w:pPr>
            <w:r>
              <w:rPr>
                <w:rFonts w:ascii="Times New Roman" w:hAnsi="Times New Roman"/>
                <w:szCs w:val="21"/>
              </w:rPr>
              <w:t>23.2</w:t>
            </w:r>
          </w:p>
        </w:tc>
        <w:tc>
          <w:tcPr>
            <w:tcW w:w="960" w:type="dxa"/>
            <w:vAlign w:val="center"/>
          </w:tcPr>
          <w:p>
            <w:pPr>
              <w:pStyle w:val="40"/>
              <w:rPr>
                <w:rFonts w:ascii="Times New Roman" w:hAnsi="Times New Roman"/>
                <w:szCs w:val="21"/>
              </w:rPr>
            </w:pPr>
            <w:r>
              <w:rPr>
                <w:rFonts w:ascii="Times New Roman" w:hAnsi="Times New Roman"/>
                <w:szCs w:val="21"/>
              </w:rPr>
              <w:t>1</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Merge w:val="continue"/>
            <w:vAlign w:val="center"/>
          </w:tcPr>
          <w:p>
            <w:pPr>
              <w:pStyle w:val="40"/>
              <w:rPr>
                <w:rFonts w:ascii="Times New Roman" w:hAnsi="Times New Roman"/>
                <w:szCs w:val="21"/>
              </w:rPr>
            </w:pPr>
          </w:p>
        </w:tc>
        <w:tc>
          <w:tcPr>
            <w:tcW w:w="840" w:type="dxa"/>
            <w:vMerge w:val="continue"/>
            <w:vAlign w:val="center"/>
          </w:tcPr>
          <w:p>
            <w:pPr>
              <w:pStyle w:val="40"/>
              <w:rPr>
                <w:rFonts w:ascii="Times New Roman" w:hAnsi="Times New Roman"/>
                <w:szCs w:val="21"/>
              </w:rPr>
            </w:pPr>
          </w:p>
        </w:tc>
        <w:tc>
          <w:tcPr>
            <w:tcW w:w="960" w:type="dxa"/>
            <w:vMerge w:val="continue"/>
            <w:vAlign w:val="center"/>
          </w:tcPr>
          <w:p>
            <w:pPr>
              <w:pStyle w:val="40"/>
              <w:rPr>
                <w:rFonts w:ascii="Times New Roman" w:hAnsi="Times New Roman"/>
                <w:szCs w:val="21"/>
              </w:rPr>
            </w:pPr>
          </w:p>
        </w:tc>
        <w:tc>
          <w:tcPr>
            <w:tcW w:w="1200" w:type="dxa"/>
            <w:vMerge w:val="continue"/>
            <w:vAlign w:val="center"/>
          </w:tcPr>
          <w:p>
            <w:pPr>
              <w:pStyle w:val="40"/>
              <w:rPr>
                <w:rFonts w:ascii="Times New Roman" w:hAnsi="Times New Roman"/>
                <w:szCs w:val="21"/>
              </w:rPr>
            </w:pPr>
          </w:p>
        </w:tc>
        <w:tc>
          <w:tcPr>
            <w:tcW w:w="1320" w:type="dxa"/>
            <w:vAlign w:val="center"/>
          </w:tcPr>
          <w:p>
            <w:pPr>
              <w:pStyle w:val="40"/>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万分之一电子分析天平</w:t>
            </w:r>
          </w:p>
        </w:tc>
        <w:tc>
          <w:tcPr>
            <w:tcW w:w="1200" w:type="dxa"/>
            <w:vAlign w:val="center"/>
          </w:tcPr>
          <w:p>
            <w:pPr>
              <w:pStyle w:val="40"/>
              <w:rPr>
                <w:rFonts w:hint="default"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2.5</w:t>
            </w:r>
          </w:p>
        </w:tc>
        <w:tc>
          <w:tcPr>
            <w:tcW w:w="960" w:type="dxa"/>
            <w:vAlign w:val="center"/>
          </w:tcPr>
          <w:p>
            <w:pPr>
              <w:pStyle w:val="40"/>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2</w:t>
            </w:r>
          </w:p>
        </w:tc>
        <w:tc>
          <w:tcPr>
            <w:tcW w:w="1454" w:type="dxa"/>
            <w:vMerge w:val="continue"/>
            <w:vAlign w:val="center"/>
          </w:tcPr>
          <w:p>
            <w:pPr>
              <w:pStyle w:val="4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gridSpan w:val="3"/>
            <w:vAlign w:val="center"/>
          </w:tcPr>
          <w:p>
            <w:pPr>
              <w:pStyle w:val="40"/>
              <w:rPr>
                <w:rFonts w:ascii="Times New Roman" w:hAnsi="Times New Roman"/>
                <w:szCs w:val="21"/>
              </w:rPr>
            </w:pPr>
            <w:r>
              <w:rPr>
                <w:rFonts w:ascii="Times New Roman" w:hAnsi="Times New Roman"/>
                <w:szCs w:val="21"/>
              </w:rPr>
              <w:t>实训项目开出率</w:t>
            </w:r>
          </w:p>
        </w:tc>
        <w:tc>
          <w:tcPr>
            <w:tcW w:w="6134" w:type="dxa"/>
            <w:gridSpan w:val="5"/>
            <w:vAlign w:val="center"/>
          </w:tcPr>
          <w:p>
            <w:pPr>
              <w:pStyle w:val="40"/>
              <w:rPr>
                <w:rFonts w:ascii="Times New Roman" w:hAnsi="Times New Roman"/>
                <w:szCs w:val="21"/>
              </w:rPr>
            </w:pPr>
            <w:r>
              <w:rPr>
                <w:rFonts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gridSpan w:val="3"/>
            <w:vAlign w:val="center"/>
          </w:tcPr>
          <w:p>
            <w:pPr>
              <w:pStyle w:val="40"/>
              <w:rPr>
                <w:rFonts w:ascii="Times New Roman" w:hAnsi="Times New Roman"/>
                <w:szCs w:val="21"/>
              </w:rPr>
            </w:pPr>
            <w:r>
              <w:rPr>
                <w:rFonts w:ascii="Times New Roman" w:hAnsi="Times New Roman"/>
                <w:szCs w:val="21"/>
              </w:rPr>
              <w:t>实训室利用率</w:t>
            </w:r>
          </w:p>
        </w:tc>
        <w:tc>
          <w:tcPr>
            <w:tcW w:w="6134" w:type="dxa"/>
            <w:gridSpan w:val="5"/>
            <w:vAlign w:val="center"/>
          </w:tcPr>
          <w:p>
            <w:pPr>
              <w:pStyle w:val="40"/>
              <w:rPr>
                <w:rFonts w:ascii="Times New Roman" w:hAnsi="Times New Roman"/>
                <w:szCs w:val="21"/>
              </w:rPr>
            </w:pPr>
            <w:r>
              <w:rPr>
                <w:rFonts w:ascii="Times New Roman" w:hAnsi="Times New Roman"/>
                <w:szCs w:val="21"/>
              </w:rPr>
              <w:t>100%</w:t>
            </w: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（2）校外实习基地建设</w:t>
      </w:r>
    </w:p>
    <w:p>
      <w:pPr>
        <w:spacing w:line="360" w:lineRule="auto"/>
        <w:ind w:firstLine="420" w:firstLineChars="200"/>
        <w:rPr>
          <w:rFonts w:ascii="Times New Roman" w:hAnsi="Times New Roman" w:eastAsia="宋体" w:cs="Times New Roman"/>
          <w:bCs/>
        </w:rPr>
      </w:pPr>
      <w:r>
        <w:rPr>
          <w:rFonts w:ascii="Times New Roman" w:hAnsi="Times New Roman" w:eastAsia="宋体" w:cs="Times New Roman"/>
          <w:szCs w:val="21"/>
        </w:rPr>
        <w:t>校外实践基地是专业教学有效的组成部分。为了达到人才培养目标，校外实践教学基地除满足学生进行认识实习、工学结合和顶岗实习外，还要满足专业教师实践锻炼的需要。</w:t>
      </w:r>
    </w:p>
    <w:p>
      <w:pPr>
        <w:jc w:val="center"/>
        <w:rPr>
          <w:rFonts w:ascii="Times New Roman" w:hAnsi="Times New Roman" w:eastAsia="宋体" w:cs="Times New Roman"/>
          <w:bCs/>
        </w:rPr>
      </w:pPr>
      <w:r>
        <w:rPr>
          <w:rFonts w:ascii="Times New Roman" w:hAnsi="Times New Roman" w:eastAsia="宋体" w:cs="Times New Roman"/>
          <w:bCs/>
        </w:rPr>
        <w:t>表</w:t>
      </w:r>
      <w:r>
        <w:rPr>
          <w:rFonts w:hint="eastAsia" w:ascii="Times New Roman" w:hAnsi="Times New Roman" w:eastAsia="宋体" w:cs="Times New Roman"/>
          <w:bCs/>
        </w:rPr>
        <w:t>十</w:t>
      </w:r>
      <w:r>
        <w:rPr>
          <w:rFonts w:ascii="Times New Roman" w:hAnsi="Times New Roman" w:eastAsia="宋体" w:cs="Times New Roman"/>
          <w:bCs/>
        </w:rPr>
        <w:t xml:space="preserve"> 本专业校外实习实训基地表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b/>
              </w:rPr>
            </w:pPr>
            <w:r>
              <w:rPr>
                <w:rFonts w:hint="eastAsia" w:ascii="宋体" w:hAnsi="宋体" w:eastAsia="宋体"/>
                <w:b/>
              </w:rPr>
              <w:t>序号</w:t>
            </w:r>
          </w:p>
        </w:tc>
        <w:tc>
          <w:tcPr>
            <w:tcW w:w="4722" w:type="dxa"/>
            <w:vAlign w:val="center"/>
          </w:tcPr>
          <w:p>
            <w:pPr>
              <w:jc w:val="center"/>
              <w:rPr>
                <w:rFonts w:ascii="宋体" w:hAnsi="宋体" w:eastAsia="宋体"/>
                <w:b/>
              </w:rPr>
            </w:pPr>
            <w:r>
              <w:rPr>
                <w:rFonts w:hint="eastAsia" w:ascii="宋体" w:hAnsi="宋体" w:eastAsia="宋体"/>
                <w:b/>
              </w:rPr>
              <w:t>合作企业</w:t>
            </w:r>
          </w:p>
        </w:tc>
        <w:tc>
          <w:tcPr>
            <w:tcW w:w="2841" w:type="dxa"/>
            <w:vAlign w:val="center"/>
          </w:tcPr>
          <w:p>
            <w:pPr>
              <w:jc w:val="center"/>
              <w:rPr>
                <w:rFonts w:ascii="宋体" w:hAnsi="宋体" w:eastAsia="宋体"/>
                <w:b/>
              </w:rPr>
            </w:pPr>
            <w:r>
              <w:rPr>
                <w:rFonts w:hint="eastAsia" w:ascii="宋体" w:hAnsi="宋体" w:eastAsia="宋体"/>
                <w:b/>
              </w:rPr>
              <w:t>建立时间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1</w:t>
            </w:r>
          </w:p>
        </w:tc>
        <w:tc>
          <w:tcPr>
            <w:tcW w:w="4722" w:type="dxa"/>
            <w:vAlign w:val="center"/>
          </w:tcPr>
          <w:p>
            <w:pPr>
              <w:jc w:val="center"/>
              <w:rPr>
                <w:rFonts w:ascii="宋体" w:hAnsi="宋体" w:eastAsia="宋体"/>
              </w:rPr>
            </w:pPr>
            <w:r>
              <w:rPr>
                <w:rFonts w:hint="eastAsia" w:ascii="宋体" w:hAnsi="宋体" w:eastAsia="宋体"/>
              </w:rPr>
              <w:t>华测检测集团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2</w:t>
            </w:r>
          </w:p>
        </w:tc>
        <w:tc>
          <w:tcPr>
            <w:tcW w:w="4722" w:type="dxa"/>
            <w:vAlign w:val="center"/>
          </w:tcPr>
          <w:p>
            <w:pPr>
              <w:jc w:val="center"/>
              <w:rPr>
                <w:rFonts w:ascii="宋体" w:hAnsi="宋体" w:eastAsia="宋体"/>
              </w:rPr>
            </w:pPr>
            <w:r>
              <w:rPr>
                <w:rFonts w:hint="eastAsia" w:ascii="宋体" w:hAnsi="宋体" w:eastAsia="宋体"/>
              </w:rPr>
              <w:t>徐福记集团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3</w:t>
            </w:r>
          </w:p>
        </w:tc>
        <w:tc>
          <w:tcPr>
            <w:tcW w:w="4722" w:type="dxa"/>
            <w:vAlign w:val="center"/>
          </w:tcPr>
          <w:p>
            <w:pPr>
              <w:jc w:val="center"/>
              <w:rPr>
                <w:rFonts w:ascii="宋体" w:hAnsi="宋体" w:eastAsia="宋体"/>
              </w:rPr>
            </w:pPr>
            <w:r>
              <w:rPr>
                <w:rFonts w:hint="eastAsia" w:ascii="宋体" w:hAnsi="宋体" w:eastAsia="宋体"/>
              </w:rPr>
              <w:t>正邦集团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4</w:t>
            </w:r>
          </w:p>
        </w:tc>
        <w:tc>
          <w:tcPr>
            <w:tcW w:w="4722" w:type="dxa"/>
            <w:vAlign w:val="center"/>
          </w:tcPr>
          <w:p>
            <w:pPr>
              <w:jc w:val="center"/>
              <w:rPr>
                <w:rFonts w:ascii="宋体" w:hAnsi="宋体" w:eastAsia="宋体"/>
              </w:rPr>
            </w:pPr>
            <w:r>
              <w:rPr>
                <w:rFonts w:hint="eastAsia" w:ascii="宋体" w:hAnsi="宋体" w:eastAsia="宋体"/>
              </w:rPr>
              <w:t>蓝月亮集团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5</w:t>
            </w:r>
          </w:p>
        </w:tc>
        <w:tc>
          <w:tcPr>
            <w:tcW w:w="4722" w:type="dxa"/>
            <w:vAlign w:val="center"/>
          </w:tcPr>
          <w:p>
            <w:pPr>
              <w:jc w:val="center"/>
              <w:rPr>
                <w:rFonts w:ascii="宋体" w:hAnsi="宋体" w:eastAsia="宋体"/>
              </w:rPr>
            </w:pPr>
            <w:r>
              <w:rPr>
                <w:rFonts w:hint="eastAsia" w:ascii="宋体" w:hAnsi="宋体" w:eastAsia="宋体"/>
              </w:rPr>
              <w:t>中鼎检测集团</w:t>
            </w:r>
          </w:p>
        </w:tc>
        <w:tc>
          <w:tcPr>
            <w:tcW w:w="2841" w:type="dxa"/>
            <w:vAlign w:val="center"/>
          </w:tcPr>
          <w:p>
            <w:pPr>
              <w:jc w:val="center"/>
              <w:rPr>
                <w:rFonts w:ascii="宋体" w:hAnsi="宋体" w:eastAsia="宋体"/>
              </w:rPr>
            </w:pPr>
            <w:r>
              <w:rPr>
                <w:rFonts w:hint="eastAsia" w:ascii="宋体" w:hAnsi="宋体" w:eastAsia="宋体"/>
              </w:rPr>
              <w:t>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Align w:val="center"/>
          </w:tcPr>
          <w:p>
            <w:pPr>
              <w:jc w:val="center"/>
              <w:rPr>
                <w:rFonts w:ascii="宋体" w:hAnsi="宋体" w:eastAsia="宋体"/>
              </w:rPr>
            </w:pPr>
            <w:r>
              <w:rPr>
                <w:rFonts w:hint="eastAsia" w:ascii="宋体" w:hAnsi="宋体" w:eastAsia="宋体"/>
              </w:rPr>
              <w:t>6</w:t>
            </w:r>
          </w:p>
        </w:tc>
        <w:tc>
          <w:tcPr>
            <w:tcW w:w="4722" w:type="dxa"/>
            <w:vAlign w:val="center"/>
          </w:tcPr>
          <w:p>
            <w:pPr>
              <w:jc w:val="center"/>
              <w:rPr>
                <w:rFonts w:ascii="宋体" w:hAnsi="宋体" w:eastAsia="宋体"/>
              </w:rPr>
            </w:pPr>
            <w:r>
              <w:rPr>
                <w:rFonts w:hint="eastAsia" w:ascii="宋体" w:hAnsi="宋体" w:eastAsia="宋体"/>
              </w:rPr>
              <w:t>百胜餐饮集团</w:t>
            </w:r>
          </w:p>
        </w:tc>
        <w:tc>
          <w:tcPr>
            <w:tcW w:w="2841" w:type="dxa"/>
            <w:vAlign w:val="center"/>
          </w:tcPr>
          <w:p>
            <w:pPr>
              <w:jc w:val="center"/>
              <w:rPr>
                <w:rFonts w:ascii="宋体" w:hAnsi="宋体" w:eastAsia="宋体"/>
              </w:rPr>
            </w:pPr>
            <w:r>
              <w:rPr>
                <w:rFonts w:hint="eastAsia" w:ascii="宋体" w:hAnsi="宋体" w:eastAsia="宋体"/>
              </w:rPr>
              <w:t>2019年6月</w:t>
            </w:r>
          </w:p>
        </w:tc>
      </w:tr>
    </w:tbl>
    <w:p>
      <w:pPr>
        <w:spacing w:line="360" w:lineRule="auto"/>
        <w:rPr>
          <w:rFonts w:asciiTheme="minorEastAsia" w:hAnsiTheme="minorEastAsia"/>
          <w:szCs w:val="21"/>
        </w:rPr>
      </w:pPr>
    </w:p>
    <w:p>
      <w:pPr>
        <w:numPr>
          <w:ilvl w:val="0"/>
          <w:numId w:val="4"/>
        </w:numPr>
        <w:adjustRightInd w:val="0"/>
        <w:spacing w:line="360" w:lineRule="auto"/>
        <w:ind w:firstLine="480" w:firstLineChars="200"/>
        <w:outlineLvl w:val="2"/>
        <w:rPr>
          <w:rFonts w:hint="eastAsia" w:ascii="黑体" w:hAnsi="黑体" w:eastAsia="黑体" w:cs="Times New Roman"/>
          <w:sz w:val="24"/>
          <w:szCs w:val="24"/>
        </w:rPr>
      </w:pPr>
      <w:r>
        <w:rPr>
          <w:rFonts w:hint="eastAsia" w:ascii="黑体" w:hAnsi="黑体" w:eastAsia="黑体" w:cs="Times New Roman"/>
          <w:sz w:val="24"/>
          <w:szCs w:val="24"/>
        </w:rPr>
        <w:t>教学资源</w:t>
      </w:r>
    </w:p>
    <w:p>
      <w:pPr>
        <w:spacing w:line="360" w:lineRule="auto"/>
        <w:ind w:firstLine="420" w:firstLineChars="200"/>
        <w:rPr>
          <w:rFonts w:hint="eastAsia" w:asciiTheme="minorEastAsia" w:hAnsiTheme="minorEastAsia"/>
          <w:b/>
          <w:szCs w:val="21"/>
        </w:rPr>
      </w:pPr>
      <w:r>
        <w:rPr>
          <w:rFonts w:hint="eastAsia" w:asciiTheme="minorEastAsia" w:hAnsiTheme="minorEastAsia"/>
          <w:b/>
          <w:szCs w:val="21"/>
          <w:lang w:val="en-US" w:eastAsia="zh-CN"/>
        </w:rPr>
        <w:t xml:space="preserve">1．课程教学资源库网站平台 </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 xml:space="preserve">依托学校现代化信息平台资源，《食品微生物检测技术》、《食品基础化学》、《食品安全与质量控制》等核心课教学资源库网站平台以及精品课程资源共享。每门课程设置课程简介、课程定位、授课计划、教案、视频资料、教学条件、教学方法与手段、教学评价、习题与试题库、课程建设规划、师资队伍、在线测试、教学参考资料等内容，学生可以查阅学习资源，自主学习、自主测试，教师网上答疑，通过网络交流讨论，促进师生互动。同时方便兼职教师直接参与校内的教学活动，将企业的资源转化为教学资源，丰富教学资源内容，实现优质专业教学资源共享。 </w:t>
      </w:r>
    </w:p>
    <w:p>
      <w:pPr>
        <w:spacing w:line="360" w:lineRule="auto"/>
        <w:ind w:firstLine="420" w:firstLineChars="200"/>
        <w:rPr>
          <w:rFonts w:hint="eastAsia" w:asciiTheme="minorEastAsia" w:hAnsiTheme="minorEastAsia"/>
          <w:b/>
          <w:szCs w:val="21"/>
        </w:rPr>
      </w:pPr>
      <w:r>
        <w:rPr>
          <w:rFonts w:hint="eastAsia" w:asciiTheme="minorEastAsia" w:hAnsiTheme="minorEastAsia"/>
          <w:b/>
          <w:szCs w:val="21"/>
          <w:lang w:val="en-US" w:eastAsia="zh-CN"/>
        </w:rPr>
        <w:t xml:space="preserve">2．教材资源 </w:t>
      </w:r>
    </w:p>
    <w:p>
      <w:pPr>
        <w:spacing w:line="360" w:lineRule="auto"/>
        <w:ind w:firstLine="420" w:firstLineChars="200"/>
        <w:rPr>
          <w:rFonts w:ascii="宋体" w:hAnsi="宋体" w:eastAsia="宋体"/>
          <w:szCs w:val="21"/>
        </w:rPr>
      </w:pPr>
      <w:r>
        <w:rPr>
          <w:rFonts w:hint="eastAsia" w:ascii="宋体" w:hAnsi="宋体" w:eastAsia="宋体"/>
          <w:szCs w:val="21"/>
          <w:lang w:val="en-US" w:eastAsia="zh-CN"/>
        </w:rPr>
        <w:t>优先选用国家级、省级获奖教材、规划教材。鼓励教师与行业企业专家合作，共同开发突出高等职业教育特色、体现基于工作过程和职（执）业资格培训内容特点的模块化、项目化、活页式、工作手册式教材。</w:t>
      </w:r>
      <w:r>
        <w:rPr>
          <w:rFonts w:hint="eastAsia" w:ascii="宋体" w:hAnsi="宋体" w:eastAsia="宋体"/>
          <w:szCs w:val="21"/>
        </w:rPr>
        <w:t>教材选用近5年的高职高专优质教材，馆藏专业图书不低于生均30册。并建有可接入CERNET和CHINANET互联网、方便迅捷的校园网络，教室安装网络接口及多媒体教学设备，网络应有充足的带宽，建议链接国家食品检验检测技术专业教学资源库、国家、省、校级精品课程等网络优质资源，满足学生自主进行网络学习的需要，为学生毕业后的可持续发展奠定坚实的基础。</w:t>
      </w:r>
    </w:p>
    <w:p>
      <w:pPr>
        <w:adjustRightInd w:val="0"/>
        <w:spacing w:line="360" w:lineRule="auto"/>
        <w:ind w:firstLine="420" w:firstLineChars="200"/>
        <w:outlineLvl w:val="2"/>
        <w:rPr>
          <w:rFonts w:ascii="宋体" w:hAnsi="宋体" w:eastAsia="宋体"/>
          <w:szCs w:val="21"/>
        </w:rPr>
      </w:pPr>
      <w:r>
        <w:rPr>
          <w:rFonts w:hint="eastAsia" w:ascii="宋体" w:hAnsi="宋体" w:eastAsia="宋体"/>
          <w:szCs w:val="21"/>
        </w:rPr>
        <w:t>充分利用专业教学资源库，完善专业课程标准，电子课件、素材库等教学资源。</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（四）教学方法</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 xml:space="preserve">1．加强对学生实际职业能力的培养，强化案例教学或项目教学，注重以任务引领型案例或项目作业来诱发学生兴趣，使学生在案例分析或完成项目的过程中掌握操作。 </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 xml:space="preserve">2．以学生为本，注重“教”与“学”的互动。通过选用典型活动项目，由教师提出要求或示范，组织学生进行活动，让学生在活动中增强职业意识，掌握本课程的职业能力。 </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 xml:space="preserve">3．注重职业情景的设计，以多媒体、录像、案例分析、角色扮演、实训等多种方式来提高学生分析问题和解决问题的职业能力。 </w:t>
      </w:r>
    </w:p>
    <w:p>
      <w:pPr>
        <w:spacing w:line="360" w:lineRule="auto"/>
        <w:ind w:firstLine="420" w:firstLineChars="200"/>
        <w:rPr>
          <w:rFonts w:hint="eastAsia" w:ascii="宋体" w:hAnsi="宋体" w:eastAsia="宋体"/>
          <w:szCs w:val="21"/>
        </w:rPr>
      </w:pPr>
      <w:r>
        <w:rPr>
          <w:rFonts w:hint="eastAsia" w:ascii="宋体" w:hAnsi="宋体" w:eastAsia="宋体"/>
          <w:szCs w:val="21"/>
          <w:lang w:val="en-US" w:eastAsia="zh-CN"/>
        </w:rPr>
        <w:t>4．教师必须重视实践，更新观念，加强校企合作，实行工学结合，走产学研相结合的道路，探索中国特色职业教育的新模式，为学生提供自主学习的时间和空间，为学生提供轮岗实训的机会与平台，积极引导学生提升职业素养，努力提高学生的创新能力。</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（五）学习评价</w:t>
      </w:r>
    </w:p>
    <w:p>
      <w:pPr>
        <w:spacing w:line="360" w:lineRule="auto"/>
        <w:ind w:firstLine="420" w:firstLineChars="200"/>
        <w:rPr>
          <w:rFonts w:ascii="宋体" w:hAnsi="宋体" w:eastAsia="宋体"/>
          <w:szCs w:val="21"/>
        </w:rPr>
      </w:pPr>
      <w:r>
        <w:rPr>
          <w:rFonts w:hint="eastAsia" w:ascii="宋体" w:hAnsi="宋体" w:eastAsia="宋体"/>
          <w:szCs w:val="21"/>
        </w:rPr>
        <w:t>1.在教学过程中，应立足于加强学生实际操作能力的培养，核心课程建议采用“任务驱动”教学法，通过典型食品的分析检验，由教师提出要求或示范，组织学生进行活动，注重“教”与“学”的互动，让学生在活动中增强爱岗敬业、团结协作的意识，实现技能与素质的同步提高。实施“教、学、做”一体化教学，提高学生学习兴趣，激发学生的成就动机，有效培养学生的职业能力。</w:t>
      </w:r>
    </w:p>
    <w:p>
      <w:pPr>
        <w:spacing w:line="360" w:lineRule="auto"/>
        <w:ind w:firstLine="420" w:firstLineChars="200"/>
        <w:rPr>
          <w:rFonts w:ascii="宋体" w:hAnsi="宋体" w:eastAsia="宋体"/>
          <w:szCs w:val="21"/>
        </w:rPr>
      </w:pPr>
      <w:r>
        <w:rPr>
          <w:rFonts w:hint="eastAsia" w:ascii="宋体" w:hAnsi="宋体" w:eastAsia="宋体"/>
          <w:szCs w:val="21"/>
        </w:rPr>
        <w:t>2.在教学过程中，要创设工作情景，同时应加大实践实操的容量，要紧密结合职业技能证书的考证，加强考证的实操项目的训练，在实践实操过程中，使学生学会常见化工产品的质量控制，提高学生的岗位适应能力。</w:t>
      </w:r>
    </w:p>
    <w:p>
      <w:pPr>
        <w:spacing w:line="360" w:lineRule="auto"/>
        <w:ind w:firstLine="420" w:firstLineChars="200"/>
        <w:rPr>
          <w:rFonts w:ascii="宋体" w:hAnsi="宋体" w:eastAsia="宋体"/>
          <w:szCs w:val="21"/>
        </w:rPr>
      </w:pPr>
      <w:r>
        <w:rPr>
          <w:rFonts w:hint="eastAsia" w:ascii="宋体" w:hAnsi="宋体" w:eastAsia="宋体"/>
          <w:szCs w:val="21"/>
        </w:rPr>
        <w:t>3.在教学过程中，要应用多媒体、投影等教学资源辅助教学，帮助学生理解不同化工产品的质量控制。</w:t>
      </w:r>
    </w:p>
    <w:p>
      <w:pPr>
        <w:spacing w:line="360" w:lineRule="auto"/>
        <w:ind w:firstLine="420" w:firstLineChars="200"/>
        <w:rPr>
          <w:rFonts w:ascii="宋体" w:hAnsi="宋体" w:eastAsia="宋体"/>
          <w:szCs w:val="21"/>
        </w:rPr>
      </w:pPr>
      <w:r>
        <w:rPr>
          <w:rFonts w:hint="eastAsia" w:ascii="宋体" w:hAnsi="宋体" w:eastAsia="宋体"/>
          <w:szCs w:val="21"/>
        </w:rPr>
        <w:t>4.在教学过程中，要重视本专业领域新技术、新工艺、新设备发展趋势，贴近生产现场。为学生提供职业生涯发展的空间，努力培养学生参与社会实践的创新精神和职业能力。</w:t>
      </w:r>
    </w:p>
    <w:p>
      <w:pPr>
        <w:spacing w:line="360" w:lineRule="auto"/>
        <w:ind w:firstLine="420" w:firstLineChars="200"/>
        <w:rPr>
          <w:rFonts w:ascii="宋体" w:hAnsi="宋体" w:eastAsia="宋体"/>
          <w:szCs w:val="21"/>
        </w:rPr>
      </w:pPr>
      <w:r>
        <w:rPr>
          <w:rFonts w:hint="eastAsia" w:ascii="宋体" w:hAnsi="宋体" w:eastAsia="宋体"/>
          <w:szCs w:val="21"/>
        </w:rPr>
        <w:t xml:space="preserve">5.教学过程中（项目实施过程中）充分利用校外实训基地，校企合作，工学结合，课堂与车间结合，积极引导学生提升职业素养，提高职业道德。 </w:t>
      </w:r>
    </w:p>
    <w:p>
      <w:pPr>
        <w:spacing w:line="360" w:lineRule="auto"/>
        <w:ind w:firstLine="420" w:firstLineChars="200"/>
        <w:rPr>
          <w:rFonts w:hint="eastAsia" w:ascii="宋体" w:hAnsi="宋体" w:eastAsia="宋体"/>
          <w:szCs w:val="21"/>
        </w:rPr>
      </w:pPr>
      <w:r>
        <w:rPr>
          <w:rFonts w:hint="eastAsia" w:ascii="宋体" w:hAnsi="宋体" w:eastAsia="宋体"/>
          <w:szCs w:val="21"/>
        </w:rPr>
        <w:t>探索建立由多种基本考试方法构成、进行多次测试、</w:t>
      </w:r>
      <w:r>
        <w:rPr>
          <w:rFonts w:hint="eastAsia" w:ascii="宋体" w:hAnsi="宋体" w:eastAsia="宋体"/>
          <w:szCs w:val="21"/>
          <w:lang w:val="en-US" w:eastAsia="zh-CN"/>
        </w:rPr>
        <w:t>考核评价</w:t>
      </w:r>
      <w:r>
        <w:rPr>
          <w:rFonts w:hint="eastAsia" w:ascii="宋体" w:hAnsi="宋体" w:eastAsia="宋体"/>
          <w:szCs w:val="21"/>
        </w:rPr>
        <w:t>考试</w:t>
      </w:r>
      <w:r>
        <w:rPr>
          <w:rFonts w:hint="eastAsia" w:ascii="宋体" w:hAnsi="宋体" w:eastAsia="宋体"/>
          <w:szCs w:val="21"/>
          <w:lang w:val="en-US" w:eastAsia="zh-CN"/>
        </w:rPr>
        <w:t>模式</w:t>
      </w:r>
      <w:r>
        <w:rPr>
          <w:rFonts w:hint="eastAsia" w:ascii="宋体" w:hAnsi="宋体" w:eastAsia="宋体"/>
          <w:szCs w:val="21"/>
        </w:rPr>
        <w:t>。</w:t>
      </w:r>
      <w:r>
        <w:rPr>
          <w:rFonts w:hint="eastAsia" w:ascii="宋体" w:hAnsi="宋体" w:eastAsia="宋体"/>
          <w:szCs w:val="21"/>
          <w:lang w:val="en-US" w:eastAsia="zh-CN"/>
        </w:rPr>
        <w:t xml:space="preserve">考核评价方式由过程考核和结果考核两部分组成。过程考核占总评成绩的60％，结果考核（期末考核）占总评成绩的 40％。过程评价以学习态度、操作能力、方法运用、合作精神为考核要素，以学习阶段、学习项目或典型工作任务为单元组织考核。考核内容以能力考核为主体,如为在线开放课程,课程线上考核成绩占 30%,线下平时考核成绩占 40%，线下考核成绩占 30%。 </w:t>
      </w:r>
    </w:p>
    <w:p>
      <w:pPr>
        <w:adjustRightInd w:val="0"/>
        <w:spacing w:line="360" w:lineRule="auto"/>
        <w:ind w:firstLine="480" w:firstLineChars="200"/>
        <w:outlineLvl w:val="2"/>
        <w:rPr>
          <w:rFonts w:ascii="黑体" w:hAnsi="黑体" w:eastAsia="黑体" w:cs="Times New Roman"/>
          <w:sz w:val="24"/>
          <w:szCs w:val="24"/>
        </w:rPr>
      </w:pPr>
      <w:r>
        <w:rPr>
          <w:rFonts w:hint="eastAsia" w:ascii="黑体" w:hAnsi="黑体" w:eastAsia="黑体" w:cs="Times New Roman"/>
          <w:sz w:val="24"/>
          <w:szCs w:val="24"/>
        </w:rPr>
        <w:t>（六）</w:t>
      </w:r>
      <w:r>
        <w:rPr>
          <w:rFonts w:ascii="黑体" w:hAnsi="黑体" w:eastAsia="黑体" w:cs="Times New Roman"/>
          <w:sz w:val="24"/>
          <w:szCs w:val="24"/>
        </w:rPr>
        <w:t>质量</w:t>
      </w:r>
      <w:r>
        <w:rPr>
          <w:rFonts w:hint="eastAsia" w:ascii="黑体" w:hAnsi="黑体" w:eastAsia="黑体" w:cs="Times New Roman"/>
          <w:sz w:val="24"/>
          <w:szCs w:val="24"/>
        </w:rPr>
        <w:t>管理</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1.教学运行组织管理 </w:t>
      </w:r>
    </w:p>
    <w:p>
      <w:pPr>
        <w:spacing w:line="360" w:lineRule="auto"/>
        <w:ind w:firstLine="420" w:firstLineChars="200"/>
        <w:rPr>
          <w:rFonts w:ascii="宋体" w:hAnsi="宋体" w:eastAsia="宋体"/>
          <w:szCs w:val="21"/>
        </w:rPr>
      </w:pPr>
      <w:r>
        <w:rPr>
          <w:rFonts w:hint="eastAsia" w:ascii="宋体" w:hAnsi="宋体" w:eastAsia="宋体"/>
          <w:szCs w:val="21"/>
        </w:rPr>
        <w:t>学校教学实行院系两级管理。由教务处负责完成日常教学管理工作，负责制订教学管理规章制度，开展教学评估和检查，保证教学运行。系部负责日常教学实施和管理，组织专业和教研室完成教学任务和教学建设。</w:t>
      </w:r>
    </w:p>
    <w:p>
      <w:pPr>
        <w:spacing w:line="360" w:lineRule="auto"/>
        <w:ind w:firstLine="420" w:firstLineChars="200"/>
        <w:rPr>
          <w:rFonts w:ascii="宋体" w:hAnsi="宋体" w:eastAsia="宋体"/>
          <w:szCs w:val="21"/>
        </w:rPr>
      </w:pPr>
      <w:r>
        <w:rPr>
          <w:rFonts w:hint="eastAsia" w:ascii="宋体" w:hAnsi="宋体" w:eastAsia="宋体"/>
          <w:szCs w:val="21"/>
        </w:rPr>
        <w:t xml:space="preserve">成立以系主任为负责人，教学主任、专业带头人、骨干教师和企业领导及专家组成的校企合作专业建设委员会负责指导专业的建设、教学制度的制定和审核，并监控教学过程，评价人才培养质量。系部负责日常教学的管理和监控，合作企业负责学生顶岗实习、现场教学的管理和监控。 </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2.教学质量监控评价 </w:t>
      </w:r>
    </w:p>
    <w:p>
      <w:pPr>
        <w:spacing w:line="360" w:lineRule="auto"/>
        <w:ind w:firstLine="420" w:firstLineChars="200"/>
        <w:rPr>
          <w:rFonts w:ascii="宋体" w:hAnsi="宋体" w:eastAsia="宋体"/>
          <w:szCs w:val="21"/>
        </w:rPr>
      </w:pPr>
      <w:r>
        <w:rPr>
          <w:rFonts w:hint="eastAsia" w:ascii="宋体" w:hAnsi="宋体" w:eastAsia="宋体"/>
          <w:szCs w:val="21"/>
        </w:rPr>
        <w:t xml:space="preserve">在日常教学管理中形成教学检查制度、教学质量分析制度、教学信息反馈制度和“学生评教、教师评学、同行评课、专家评质、社会评人”的五评制度。发挥专业建设委员会的积极作用，校企合作制定人才培养方案、工学结合课程标准和各教学环节工作规范性文件，使教学管理和质量监控有章可循、有据可依。建立企业参与的校系两级教学质量监控与评价体系。根据顶岗实习情况，与企业领导和指导教师共同制定和执行顶岗实习管理和考核体系，加强对人才培养过程的管理；为保证顶岗实习的质量，制定顶岗实习管理制度、考核体系、兼职教师管理制度，完善校企双方质量保障制度。 </w:t>
      </w:r>
    </w:p>
    <w:p>
      <w:pPr>
        <w:spacing w:line="360" w:lineRule="auto"/>
        <w:ind w:firstLine="422" w:firstLineChars="200"/>
        <w:rPr>
          <w:rFonts w:ascii="宋体" w:hAnsi="宋体" w:eastAsia="宋体"/>
          <w:b/>
          <w:szCs w:val="21"/>
        </w:rPr>
      </w:pPr>
      <w:r>
        <w:rPr>
          <w:rFonts w:hint="eastAsia" w:ascii="宋体" w:hAnsi="宋体" w:eastAsia="宋体"/>
          <w:b/>
          <w:szCs w:val="21"/>
        </w:rPr>
        <w:t xml:space="preserve">3.教学管理制度 </w:t>
      </w:r>
    </w:p>
    <w:p>
      <w:pPr>
        <w:spacing w:line="360" w:lineRule="auto"/>
        <w:ind w:firstLine="420" w:firstLineChars="200"/>
        <w:rPr>
          <w:rFonts w:ascii="宋体" w:hAnsi="宋体" w:eastAsia="宋体"/>
          <w:szCs w:val="21"/>
        </w:rPr>
      </w:pPr>
      <w:r>
        <w:rPr>
          <w:rFonts w:hint="eastAsia" w:ascii="宋体" w:hAnsi="宋体" w:eastAsia="宋体"/>
          <w:szCs w:val="21"/>
        </w:rPr>
        <w:t xml:space="preserve">建立与工学结合相适应的校企双方共同参与管理的制度，形成校企共管制度化、规范化、可操作的管理办法。在实施人才培养计划和教学管理的过程中，针对校企联合育人出现的问题，根据企业、学生的要求，实施人才培养的柔性管理。 </w:t>
      </w:r>
    </w:p>
    <w:p>
      <w:pPr>
        <w:spacing w:line="360" w:lineRule="auto"/>
        <w:ind w:firstLine="420" w:firstLineChars="200"/>
        <w:rPr>
          <w:rFonts w:ascii="宋体" w:hAnsi="宋体" w:eastAsia="宋体"/>
          <w:szCs w:val="21"/>
        </w:rPr>
      </w:pPr>
      <w:r>
        <w:rPr>
          <w:rFonts w:hint="eastAsia" w:ascii="宋体" w:hAnsi="宋体" w:eastAsia="宋体"/>
          <w:szCs w:val="21"/>
        </w:rPr>
        <w:t xml:space="preserve">（1）企业的订单培养 </w:t>
      </w:r>
    </w:p>
    <w:p>
      <w:pPr>
        <w:spacing w:line="360" w:lineRule="auto"/>
        <w:ind w:firstLine="420" w:firstLineChars="200"/>
        <w:rPr>
          <w:rFonts w:ascii="宋体" w:hAnsi="宋体" w:eastAsia="宋体"/>
          <w:szCs w:val="21"/>
        </w:rPr>
      </w:pPr>
      <w:r>
        <w:rPr>
          <w:rFonts w:hint="eastAsia" w:ascii="宋体" w:hAnsi="宋体" w:eastAsia="宋体"/>
          <w:szCs w:val="21"/>
        </w:rPr>
        <w:t xml:space="preserve">根据就业单位的要求，对订单班，可以根据企业的要求，校企共同制定培养方案，灵活调整教学计划，设置适合企业所需人才规格要求的课程，并改革相应课程的教学内容、教学方法、教学模式和考核方法。 </w:t>
      </w:r>
    </w:p>
    <w:p>
      <w:pPr>
        <w:spacing w:line="360" w:lineRule="auto"/>
        <w:ind w:firstLine="420" w:firstLineChars="200"/>
        <w:rPr>
          <w:rFonts w:ascii="宋体" w:hAnsi="宋体" w:eastAsia="宋体"/>
          <w:szCs w:val="21"/>
        </w:rPr>
      </w:pPr>
      <w:r>
        <w:rPr>
          <w:rFonts w:hint="eastAsia" w:ascii="宋体" w:hAnsi="宋体" w:eastAsia="宋体"/>
          <w:szCs w:val="21"/>
        </w:rPr>
        <w:t xml:space="preserve">（2）实行弹性学制 </w:t>
      </w:r>
    </w:p>
    <w:p>
      <w:pPr>
        <w:spacing w:line="360" w:lineRule="auto"/>
        <w:ind w:firstLine="420" w:firstLineChars="200"/>
        <w:rPr>
          <w:rFonts w:ascii="宋体" w:hAnsi="宋体" w:eastAsia="宋体"/>
          <w:szCs w:val="21"/>
        </w:rPr>
      </w:pPr>
      <w:r>
        <w:rPr>
          <w:rFonts w:hint="eastAsia" w:ascii="宋体" w:hAnsi="宋体" w:eastAsia="宋体"/>
          <w:szCs w:val="21"/>
        </w:rPr>
        <w:t xml:space="preserve">允许学生由于服兵役、进入社会实践等原因暂时中断学习，学分制的建立体现了修业年限的弹性、课程的自选性。学生学分的修业年限最长可延长至5年。 </w:t>
      </w:r>
    </w:p>
    <w:p>
      <w:pPr>
        <w:spacing w:line="360" w:lineRule="auto"/>
        <w:ind w:firstLine="420" w:firstLineChars="200"/>
        <w:rPr>
          <w:rFonts w:ascii="宋体" w:hAnsi="宋体" w:eastAsia="宋体"/>
          <w:szCs w:val="21"/>
        </w:rPr>
      </w:pPr>
      <w:r>
        <w:rPr>
          <w:rFonts w:hint="eastAsia" w:ascii="宋体" w:hAnsi="宋体" w:eastAsia="宋体"/>
          <w:szCs w:val="21"/>
        </w:rPr>
        <w:t xml:space="preserve">（3）对于顶岗实习的柔性管理 </w:t>
      </w:r>
    </w:p>
    <w:p>
      <w:pPr>
        <w:spacing w:line="360" w:lineRule="auto"/>
        <w:ind w:firstLine="420" w:firstLineChars="200"/>
        <w:rPr>
          <w:rFonts w:ascii="宋体" w:hAnsi="宋体" w:eastAsia="宋体"/>
          <w:szCs w:val="21"/>
        </w:rPr>
      </w:pPr>
      <w:r>
        <w:rPr>
          <w:rFonts w:hint="eastAsia" w:ascii="宋体" w:hAnsi="宋体" w:eastAsia="宋体"/>
          <w:szCs w:val="21"/>
        </w:rPr>
        <w:t>学生顶岗实习的管理按照学院(校)、系学生顶岗实习管理办法执行，由企业兼职教师与学校教师按照毕业实践课程标准</w:t>
      </w:r>
      <w:r>
        <w:rPr>
          <w:rFonts w:hint="eastAsia" w:ascii="宋体" w:hAnsi="宋体" w:eastAsia="宋体"/>
        </w:rPr>
        <w:t>，</w:t>
      </w:r>
      <w:r>
        <w:rPr>
          <w:rFonts w:hint="eastAsia" w:ascii="宋体" w:hAnsi="宋体" w:eastAsia="宋体"/>
          <w:szCs w:val="21"/>
        </w:rPr>
        <w:t xml:space="preserve">在学校和企业共同管理、指导、考核下取得相应学分。 </w:t>
      </w:r>
    </w:p>
    <w:p>
      <w:pPr>
        <w:spacing w:line="360" w:lineRule="auto"/>
        <w:ind w:firstLine="420" w:firstLineChars="200"/>
        <w:rPr>
          <w:rFonts w:ascii="宋体" w:hAnsi="宋体" w:eastAsia="宋体"/>
          <w:szCs w:val="21"/>
        </w:rPr>
      </w:pPr>
      <w:r>
        <w:rPr>
          <w:rFonts w:hint="eastAsia" w:ascii="宋体" w:hAnsi="宋体" w:eastAsia="宋体"/>
          <w:szCs w:val="21"/>
        </w:rPr>
        <w:t xml:space="preserve">顶岗实习单位可灵活选择。在毕业实践环节，学生既可前往就业单位实习，也可去专业安排的校外基地进行实习，或自行联系实习企业。只要企业符合专业规定的实习教学条件要求，都可以去实习。 </w:t>
      </w:r>
    </w:p>
    <w:p>
      <w:pPr>
        <w:spacing w:line="360" w:lineRule="auto"/>
        <w:ind w:firstLine="420" w:firstLineChars="200"/>
        <w:outlineLvl w:val="1"/>
        <w:rPr>
          <w:rFonts w:asciiTheme="minorEastAsia" w:hAnsiTheme="minorEastAsia"/>
          <w:szCs w:val="21"/>
        </w:rPr>
      </w:pPr>
      <w:r>
        <w:rPr>
          <w:rFonts w:hint="eastAsia" w:ascii="宋体" w:hAnsi="宋体" w:eastAsia="宋体"/>
          <w:szCs w:val="21"/>
        </w:rPr>
        <w:t>因就业单位的实际需求，针对部分学生提前前往就业单位实习或从事非本专业实习内容的，实行“学分替换”制度，学生在企业参加与专业相关或不相关的岗前培训，并考核合格，经系主任批准，可用企业考核成绩替换相应专业课程学分。</w:t>
      </w:r>
    </w:p>
    <w:p>
      <w:pPr>
        <w:numPr>
          <w:ilvl w:val="0"/>
          <w:numId w:val="5"/>
        </w:numPr>
        <w:spacing w:line="360" w:lineRule="auto"/>
        <w:ind w:firstLine="560" w:firstLineChars="200"/>
        <w:outlineLvl w:val="1"/>
        <w:rPr>
          <w:rFonts w:ascii="Times New Roman" w:hAnsi="Times New Roman" w:eastAsia="黑体" w:cs="Times New Roman"/>
          <w:sz w:val="28"/>
          <w:szCs w:val="28"/>
        </w:rPr>
      </w:pPr>
      <w:r>
        <w:rPr>
          <w:rFonts w:ascii="Times New Roman" w:hAnsi="Times New Roman" w:eastAsia="黑体" w:cs="Times New Roman"/>
          <w:sz w:val="28"/>
          <w:szCs w:val="28"/>
        </w:rPr>
        <w:t>毕业要求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 xml:space="preserve">（1）学时及学分要求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本专业的学生</w:t>
      </w:r>
      <w:r>
        <w:rPr>
          <w:rFonts w:hint="eastAsia" w:ascii="宋体" w:hAnsi="宋体" w:eastAsia="宋体" w:cs="宋体"/>
          <w:szCs w:val="21"/>
          <w:lang w:val="en-US" w:eastAsia="zh-CN"/>
        </w:rPr>
        <w:t>需通过专业人才培养方案中规定的课程考试，</w:t>
      </w:r>
      <w:r>
        <w:rPr>
          <w:rFonts w:hint="eastAsia" w:ascii="宋体" w:hAnsi="宋体" w:eastAsia="宋体" w:cs="宋体"/>
          <w:szCs w:val="21"/>
        </w:rPr>
        <w:t>必须修满</w:t>
      </w:r>
      <w:r>
        <w:rPr>
          <w:rFonts w:ascii="宋体" w:hAnsi="宋体" w:eastAsia="宋体" w:cs="微软雅黑"/>
          <w:szCs w:val="21"/>
        </w:rPr>
        <w:t>1</w:t>
      </w:r>
      <w:r>
        <w:rPr>
          <w:rFonts w:hint="eastAsia" w:ascii="宋体" w:hAnsi="宋体" w:eastAsia="宋体" w:cs="微软雅黑"/>
          <w:szCs w:val="21"/>
          <w:lang w:val="en-US" w:eastAsia="zh-CN"/>
        </w:rPr>
        <w:t>29</w:t>
      </w:r>
      <w:r>
        <w:rPr>
          <w:rFonts w:hint="eastAsia" w:ascii="宋体" w:hAnsi="宋体" w:eastAsia="宋体" w:cs="微软雅黑"/>
          <w:szCs w:val="21"/>
        </w:rPr>
        <w:t>学</w:t>
      </w:r>
      <w:r>
        <w:rPr>
          <w:rFonts w:hint="eastAsia" w:ascii="宋体" w:hAnsi="宋体" w:eastAsia="宋体" w:cs="宋体"/>
          <w:szCs w:val="21"/>
        </w:rPr>
        <w:t xml:space="preserve">分才能获得毕业资格。 </w:t>
      </w:r>
    </w:p>
    <w:p>
      <w:pPr>
        <w:numPr>
          <w:ilvl w:val="0"/>
          <w:numId w:val="6"/>
        </w:num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毕业设计（论文）要求 </w:t>
      </w:r>
    </w:p>
    <w:p>
      <w:pPr>
        <w:spacing w:line="360" w:lineRule="auto"/>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毕业实习期间，学生必须完成一篇具有一定质量的毕业论文（设计）。实习结束后，返校进行实习总结交流和论文答辩，合格者方可取得毕业实习学分和毕业论文学分。</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3）职业技能</w:t>
      </w:r>
    </w:p>
    <w:p>
      <w:pPr>
        <w:spacing w:line="360" w:lineRule="auto"/>
        <w:ind w:firstLine="420" w:firstLineChars="200"/>
        <w:rPr>
          <w:rFonts w:ascii="宋体" w:hAnsi="宋体" w:eastAsia="宋体" w:cs="宋体"/>
          <w:b/>
          <w:bCs/>
          <w:szCs w:val="21"/>
        </w:rPr>
      </w:pPr>
      <w:r>
        <w:rPr>
          <w:rFonts w:hint="eastAsia" w:ascii="宋体" w:hAnsi="宋体" w:eastAsia="宋体" w:cs="微软雅黑"/>
          <w:szCs w:val="21"/>
        </w:rPr>
        <w:t>食品检验检测技术</w:t>
      </w:r>
      <w:r>
        <w:rPr>
          <w:rFonts w:hint="eastAsia" w:ascii="宋体" w:hAnsi="宋体" w:eastAsia="宋体" w:cs="宋体"/>
          <w:szCs w:val="21"/>
        </w:rPr>
        <w:t>专业学生毕业前推荐考取表</w:t>
      </w:r>
      <w:r>
        <w:rPr>
          <w:rFonts w:hint="eastAsia" w:ascii="宋体" w:hAnsi="宋体" w:eastAsia="宋体" w:cs="微软雅黑"/>
          <w:szCs w:val="21"/>
        </w:rPr>
        <w:t>十一</w:t>
      </w:r>
      <w:r>
        <w:rPr>
          <w:rFonts w:hint="eastAsia" w:ascii="宋体" w:hAnsi="宋体" w:eastAsia="宋体" w:cs="宋体"/>
          <w:szCs w:val="21"/>
        </w:rPr>
        <w:t xml:space="preserve">职业资格证书中的一项: </w:t>
      </w:r>
    </w:p>
    <w:p>
      <w:pPr>
        <w:spacing w:line="360" w:lineRule="auto"/>
        <w:jc w:val="center"/>
        <w:rPr>
          <w:rFonts w:ascii="宋体" w:hAnsi="宋体" w:eastAsia="宋体" w:cs="宋体"/>
        </w:rPr>
      </w:pPr>
      <w:r>
        <w:rPr>
          <w:rFonts w:hint="eastAsia" w:ascii="宋体" w:hAnsi="宋体" w:eastAsia="宋体" w:cs="宋体"/>
        </w:rPr>
        <w:t>表</w:t>
      </w:r>
      <w:r>
        <w:rPr>
          <w:rFonts w:hint="eastAsia" w:ascii="宋体" w:hAnsi="宋体" w:eastAsia="宋体" w:cs="微软雅黑"/>
          <w:szCs w:val="21"/>
        </w:rPr>
        <w:t>十一  食品检验检测技术</w:t>
      </w:r>
      <w:r>
        <w:rPr>
          <w:rFonts w:hint="eastAsia" w:ascii="宋体" w:hAnsi="宋体" w:eastAsia="宋体" w:cs="宋体"/>
        </w:rPr>
        <w:t>专业相关技能证书一览表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440"/>
        <w:gridCol w:w="14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96" w:type="dxa"/>
            <w:vAlign w:val="center"/>
          </w:tcPr>
          <w:p>
            <w:pPr>
              <w:jc w:val="center"/>
              <w:rPr>
                <w:rFonts w:ascii="宋体" w:hAnsi="宋体" w:eastAsia="宋体" w:cs="宋体"/>
                <w:b/>
              </w:rPr>
            </w:pPr>
            <w:r>
              <w:rPr>
                <w:rFonts w:hint="eastAsia" w:ascii="宋体" w:hAnsi="宋体" w:eastAsia="宋体" w:cs="宋体"/>
                <w:b/>
              </w:rPr>
              <w:t>证书名称</w:t>
            </w:r>
          </w:p>
        </w:tc>
        <w:tc>
          <w:tcPr>
            <w:tcW w:w="1440" w:type="dxa"/>
            <w:vAlign w:val="center"/>
          </w:tcPr>
          <w:p>
            <w:pPr>
              <w:jc w:val="center"/>
              <w:rPr>
                <w:rFonts w:ascii="宋体" w:hAnsi="宋体" w:eastAsia="宋体" w:cs="宋体"/>
                <w:b/>
              </w:rPr>
            </w:pPr>
            <w:r>
              <w:rPr>
                <w:rFonts w:hint="eastAsia" w:ascii="宋体" w:hAnsi="宋体" w:eastAsia="宋体" w:cs="宋体"/>
                <w:b/>
              </w:rPr>
              <w:t>报名时间</w:t>
            </w:r>
          </w:p>
        </w:tc>
        <w:tc>
          <w:tcPr>
            <w:tcW w:w="1475" w:type="dxa"/>
            <w:vAlign w:val="center"/>
          </w:tcPr>
          <w:p>
            <w:pPr>
              <w:jc w:val="center"/>
              <w:rPr>
                <w:rFonts w:ascii="宋体" w:hAnsi="宋体" w:eastAsia="宋体" w:cs="宋体"/>
                <w:b/>
              </w:rPr>
            </w:pPr>
            <w:r>
              <w:rPr>
                <w:rFonts w:hint="eastAsia" w:ascii="宋体" w:hAnsi="宋体" w:eastAsia="宋体" w:cs="宋体"/>
                <w:b/>
              </w:rPr>
              <w:t>考证时间</w:t>
            </w:r>
          </w:p>
        </w:tc>
        <w:tc>
          <w:tcPr>
            <w:tcW w:w="3311" w:type="dxa"/>
            <w:vAlign w:val="center"/>
          </w:tcPr>
          <w:p>
            <w:pPr>
              <w:jc w:val="center"/>
              <w:rPr>
                <w:rFonts w:ascii="宋体" w:hAnsi="宋体" w:eastAsia="宋体" w:cs="宋体"/>
                <w:b/>
              </w:rPr>
            </w:pPr>
            <w:r>
              <w:rPr>
                <w:rFonts w:hint="eastAsia" w:ascii="宋体" w:hAnsi="宋体" w:eastAsia="宋体" w:cs="宋体"/>
                <w:b/>
              </w:rPr>
              <w:t>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eastAsia="宋体" w:cs="宋体"/>
                <w:szCs w:val="21"/>
              </w:rPr>
            </w:pPr>
            <w:r>
              <w:rPr>
                <w:rFonts w:hint="eastAsia" w:ascii="宋体" w:hAnsi="宋体" w:eastAsia="宋体" w:cs="宋体"/>
                <w:szCs w:val="21"/>
              </w:rPr>
              <w:t>全国计算机等级考试</w:t>
            </w:r>
          </w:p>
        </w:tc>
        <w:tc>
          <w:tcPr>
            <w:tcW w:w="1440" w:type="dxa"/>
            <w:vAlign w:val="center"/>
          </w:tcPr>
          <w:p>
            <w:pPr>
              <w:jc w:val="center"/>
              <w:rPr>
                <w:rFonts w:ascii="宋体" w:hAnsi="宋体" w:eastAsia="宋体" w:cs="宋体"/>
                <w:szCs w:val="21"/>
              </w:rPr>
            </w:pPr>
            <w:r>
              <w:rPr>
                <w:rFonts w:hint="eastAsia" w:ascii="宋体" w:hAnsi="宋体" w:eastAsia="宋体" w:cs="宋体"/>
                <w:szCs w:val="21"/>
              </w:rPr>
              <w:t>时间待定</w:t>
            </w:r>
          </w:p>
        </w:tc>
        <w:tc>
          <w:tcPr>
            <w:tcW w:w="1475" w:type="dxa"/>
            <w:vAlign w:val="center"/>
          </w:tcPr>
          <w:p>
            <w:pPr>
              <w:jc w:val="center"/>
              <w:rPr>
                <w:rFonts w:ascii="宋体" w:hAnsi="宋体" w:eastAsia="宋体" w:cs="宋体"/>
                <w:szCs w:val="21"/>
              </w:rPr>
            </w:pPr>
            <w:r>
              <w:rPr>
                <w:rFonts w:hint="eastAsia" w:ascii="宋体" w:hAnsi="宋体" w:eastAsia="宋体" w:cs="宋体"/>
                <w:szCs w:val="21"/>
              </w:rPr>
              <w:t>每年6、12月</w:t>
            </w:r>
          </w:p>
        </w:tc>
        <w:tc>
          <w:tcPr>
            <w:tcW w:w="3311" w:type="dxa"/>
            <w:vAlign w:val="center"/>
          </w:tcPr>
          <w:p>
            <w:pPr>
              <w:jc w:val="center"/>
              <w:rPr>
                <w:rFonts w:ascii="宋体" w:hAnsi="宋体" w:eastAsia="宋体" w:cs="宋体"/>
                <w:szCs w:val="21"/>
              </w:rPr>
            </w:pPr>
            <w:r>
              <w:rPr>
                <w:rFonts w:hint="eastAsia" w:ascii="宋体" w:hAnsi="宋体" w:eastAsia="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eastAsia="宋体" w:cs="宋体"/>
                <w:szCs w:val="21"/>
              </w:rPr>
            </w:pPr>
            <w:r>
              <w:rPr>
                <w:rFonts w:hint="eastAsia" w:ascii="宋体" w:hAnsi="宋体" w:eastAsia="宋体" w:cs="宋体"/>
                <w:szCs w:val="21"/>
              </w:rPr>
              <w:t>全国大学英语四、六级考试(CET)</w:t>
            </w:r>
          </w:p>
        </w:tc>
        <w:tc>
          <w:tcPr>
            <w:tcW w:w="1440" w:type="dxa"/>
            <w:vAlign w:val="center"/>
          </w:tcPr>
          <w:p>
            <w:pPr>
              <w:jc w:val="center"/>
              <w:rPr>
                <w:rFonts w:ascii="宋体" w:hAnsi="宋体" w:eastAsia="宋体" w:cs="宋体"/>
                <w:szCs w:val="21"/>
              </w:rPr>
            </w:pPr>
            <w:r>
              <w:rPr>
                <w:rFonts w:hint="eastAsia" w:ascii="宋体" w:hAnsi="宋体" w:eastAsia="宋体" w:cs="宋体"/>
                <w:szCs w:val="21"/>
              </w:rPr>
              <w:t>时间待定</w:t>
            </w:r>
          </w:p>
        </w:tc>
        <w:tc>
          <w:tcPr>
            <w:tcW w:w="1475" w:type="dxa"/>
            <w:vAlign w:val="center"/>
          </w:tcPr>
          <w:p>
            <w:pPr>
              <w:jc w:val="center"/>
              <w:rPr>
                <w:rFonts w:ascii="宋体" w:hAnsi="宋体" w:eastAsia="宋体" w:cs="宋体"/>
                <w:szCs w:val="21"/>
              </w:rPr>
            </w:pPr>
            <w:r>
              <w:rPr>
                <w:rFonts w:hint="eastAsia" w:ascii="宋体" w:hAnsi="宋体" w:eastAsia="宋体" w:cs="宋体"/>
                <w:szCs w:val="21"/>
              </w:rPr>
              <w:t>每年6、12月</w:t>
            </w:r>
          </w:p>
        </w:tc>
        <w:tc>
          <w:tcPr>
            <w:tcW w:w="3311" w:type="dxa"/>
            <w:vAlign w:val="center"/>
          </w:tcPr>
          <w:p>
            <w:pPr>
              <w:jc w:val="center"/>
              <w:rPr>
                <w:rFonts w:ascii="宋体" w:hAnsi="宋体" w:eastAsia="宋体" w:cs="宋体"/>
                <w:szCs w:val="21"/>
              </w:rPr>
            </w:pPr>
            <w:r>
              <w:rPr>
                <w:rFonts w:hint="eastAsia" w:ascii="宋体" w:hAnsi="宋体" w:eastAsia="宋体" w:cs="宋体"/>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spacing w:line="360" w:lineRule="auto"/>
              <w:jc w:val="center"/>
              <w:rPr>
                <w:rFonts w:ascii="宋体" w:hAnsi="宋体" w:eastAsia="宋体" w:cs="宋体"/>
                <w:szCs w:val="21"/>
              </w:rPr>
            </w:pPr>
            <w:r>
              <w:rPr>
                <w:rFonts w:hint="eastAsia" w:ascii="宋体" w:hAnsi="宋体" w:eastAsia="宋体" w:cs="微软雅黑"/>
                <w:szCs w:val="21"/>
              </w:rPr>
              <w:t>食品检验/化验员证（中级）</w:t>
            </w:r>
          </w:p>
        </w:tc>
        <w:tc>
          <w:tcPr>
            <w:tcW w:w="1440" w:type="dxa"/>
            <w:vAlign w:val="center"/>
          </w:tcPr>
          <w:p>
            <w:pPr>
              <w:jc w:val="center"/>
              <w:rPr>
                <w:rFonts w:ascii="宋体" w:hAnsi="宋体" w:eastAsia="宋体" w:cs="宋体"/>
                <w:szCs w:val="21"/>
              </w:rPr>
            </w:pPr>
            <w:r>
              <w:rPr>
                <w:rFonts w:hint="eastAsia" w:ascii="宋体" w:hAnsi="宋体" w:eastAsia="宋体" w:cs="宋体"/>
                <w:szCs w:val="21"/>
              </w:rPr>
              <w:t>时间待定</w:t>
            </w:r>
          </w:p>
        </w:tc>
        <w:tc>
          <w:tcPr>
            <w:tcW w:w="1475" w:type="dxa"/>
            <w:vAlign w:val="center"/>
          </w:tcPr>
          <w:p>
            <w:pPr>
              <w:jc w:val="center"/>
              <w:rPr>
                <w:rFonts w:ascii="宋体" w:hAnsi="宋体" w:eastAsia="宋体" w:cs="宋体"/>
                <w:szCs w:val="21"/>
              </w:rPr>
            </w:pPr>
            <w:r>
              <w:rPr>
                <w:rFonts w:hint="eastAsia" w:ascii="宋体" w:hAnsi="宋体" w:eastAsia="宋体" w:cs="宋体"/>
                <w:szCs w:val="21"/>
              </w:rPr>
              <w:t>每年6、10月</w:t>
            </w:r>
          </w:p>
        </w:tc>
        <w:tc>
          <w:tcPr>
            <w:tcW w:w="3311" w:type="dxa"/>
            <w:vAlign w:val="center"/>
          </w:tcPr>
          <w:p>
            <w:pPr>
              <w:jc w:val="center"/>
              <w:rPr>
                <w:rFonts w:ascii="宋体" w:hAnsi="宋体" w:eastAsia="宋体" w:cs="宋体"/>
                <w:szCs w:val="21"/>
              </w:rPr>
            </w:pPr>
            <w:r>
              <w:rPr>
                <w:rFonts w:hint="eastAsia" w:ascii="宋体" w:hAnsi="宋体" w:eastAsia="宋体" w:cs="微软雅黑"/>
                <w:szCs w:val="21"/>
              </w:rPr>
              <w:t>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ascii="宋体" w:hAnsi="宋体" w:eastAsia="宋体" w:cs="宋体"/>
                <w:szCs w:val="21"/>
              </w:rPr>
            </w:pPr>
            <w:r>
              <w:rPr>
                <w:rFonts w:hint="eastAsia" w:ascii="宋体" w:hAnsi="宋体" w:eastAsia="宋体" w:cs="微软雅黑"/>
                <w:szCs w:val="21"/>
              </w:rPr>
              <w:t>粮农食品安全评价职业技能等级证书（中、高级）</w:t>
            </w:r>
          </w:p>
        </w:tc>
        <w:tc>
          <w:tcPr>
            <w:tcW w:w="1440" w:type="dxa"/>
            <w:vAlign w:val="center"/>
          </w:tcPr>
          <w:p>
            <w:pPr>
              <w:jc w:val="center"/>
              <w:rPr>
                <w:rFonts w:ascii="宋体" w:hAnsi="宋体" w:eastAsia="宋体" w:cs="宋体"/>
                <w:szCs w:val="21"/>
              </w:rPr>
            </w:pPr>
            <w:r>
              <w:rPr>
                <w:rFonts w:hint="eastAsia" w:ascii="宋体" w:hAnsi="宋体" w:eastAsia="宋体" w:cs="宋体"/>
                <w:szCs w:val="21"/>
              </w:rPr>
              <w:t>时间待定</w:t>
            </w:r>
          </w:p>
        </w:tc>
        <w:tc>
          <w:tcPr>
            <w:tcW w:w="1475" w:type="dxa"/>
            <w:vAlign w:val="center"/>
          </w:tcPr>
          <w:p>
            <w:pPr>
              <w:jc w:val="center"/>
              <w:rPr>
                <w:rFonts w:ascii="宋体" w:hAnsi="宋体" w:eastAsia="宋体" w:cs="宋体"/>
                <w:szCs w:val="21"/>
              </w:rPr>
            </w:pPr>
            <w:r>
              <w:rPr>
                <w:rFonts w:hint="eastAsia" w:ascii="宋体" w:hAnsi="宋体" w:eastAsia="宋体" w:cs="宋体"/>
                <w:szCs w:val="21"/>
              </w:rPr>
              <w:t>每年12月</w:t>
            </w:r>
          </w:p>
        </w:tc>
        <w:tc>
          <w:tcPr>
            <w:tcW w:w="3311" w:type="dxa"/>
            <w:vAlign w:val="center"/>
          </w:tcPr>
          <w:p>
            <w:pPr>
              <w:jc w:val="center"/>
              <w:rPr>
                <w:rFonts w:ascii="宋体" w:hAnsi="宋体" w:eastAsia="宋体" w:cs="宋体"/>
                <w:szCs w:val="21"/>
              </w:rPr>
            </w:pPr>
            <w:r>
              <w:rPr>
                <w:rFonts w:hint="eastAsia" w:ascii="宋体" w:hAnsi="宋体" w:eastAsia="宋体" w:cs="微软雅黑"/>
                <w:szCs w:val="21"/>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6" w:type="dxa"/>
            <w:vAlign w:val="center"/>
          </w:tcPr>
          <w:p>
            <w:pPr>
              <w:jc w:val="center"/>
              <w:rPr>
                <w:rFonts w:hint="eastAsia" w:ascii="宋体" w:hAnsi="宋体" w:eastAsia="宋体" w:cs="宋体"/>
                <w:kern w:val="0"/>
                <w:sz w:val="21"/>
                <w:szCs w:val="21"/>
                <w:lang w:val="en-US" w:eastAsia="zh-CN" w:bidi="ar-SA"/>
              </w:rPr>
            </w:pPr>
            <w:r>
              <w:rPr>
                <w:rFonts w:hint="eastAsia" w:ascii="宋体" w:hAnsi="宋体" w:eastAsia="宋体"/>
                <w:szCs w:val="21"/>
                <w:lang w:val="en-US" w:eastAsia="zh-CN"/>
              </w:rPr>
              <w:t>产品感官评定分析体系证书</w:t>
            </w:r>
          </w:p>
        </w:tc>
        <w:tc>
          <w:tcPr>
            <w:tcW w:w="144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时间待定</w:t>
            </w:r>
          </w:p>
        </w:tc>
        <w:tc>
          <w:tcPr>
            <w:tcW w:w="147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每年6、10月</w:t>
            </w:r>
          </w:p>
        </w:tc>
        <w:tc>
          <w:tcPr>
            <w:tcW w:w="3311" w:type="dxa"/>
            <w:vAlign w:val="center"/>
          </w:tcPr>
          <w:p>
            <w:pPr>
              <w:jc w:val="center"/>
              <w:rPr>
                <w:rFonts w:hint="eastAsia" w:ascii="宋体" w:hAnsi="宋体" w:eastAsia="宋体" w:cs="微软雅黑"/>
                <w:kern w:val="2"/>
                <w:sz w:val="21"/>
                <w:szCs w:val="21"/>
                <w:lang w:val="en-US" w:eastAsia="zh-CN" w:bidi="ar-SA"/>
              </w:rPr>
            </w:pPr>
            <w:r>
              <w:rPr>
                <w:rFonts w:hint="eastAsia" w:ascii="宋体" w:hAnsi="宋体" w:eastAsia="宋体" w:cs="微软雅黑"/>
                <w:szCs w:val="21"/>
              </w:rPr>
              <w:t>行业协会</w:t>
            </w:r>
          </w:p>
        </w:tc>
      </w:tr>
    </w:tbl>
    <w:p>
      <w:pPr>
        <w:pStyle w:val="41"/>
        <w:spacing w:before="156" w:beforeLines="50"/>
        <w:ind w:firstLine="420"/>
        <w:rPr>
          <w:rFonts w:hint="eastAsia" w:ascii="宋体" w:eastAsia="宋体" w:cs="宋体"/>
          <w:sz w:val="21"/>
          <w:szCs w:val="21"/>
        </w:rPr>
      </w:pPr>
      <w:r>
        <w:rPr>
          <w:rFonts w:hint="eastAsia" w:ascii="宋体" w:eastAsia="宋体" w:cs="宋体"/>
          <w:sz w:val="21"/>
          <w:szCs w:val="21"/>
        </w:rPr>
        <w:t>备注：要求根据本人规划的就业方向考取上述职业资格证书之一</w:t>
      </w:r>
    </w:p>
    <w:p>
      <w:pPr>
        <w:pStyle w:val="41"/>
        <w:spacing w:before="156" w:beforeLines="50"/>
        <w:ind w:firstLine="420"/>
        <w:rPr>
          <w:rFonts w:hint="eastAsia" w:ascii="宋体" w:eastAsia="宋体" w:cs="宋体"/>
          <w:sz w:val="21"/>
          <w:szCs w:val="21"/>
          <w:lang w:val="en-US" w:eastAsia="zh-CN"/>
        </w:rPr>
      </w:pPr>
      <w:r>
        <w:rPr>
          <w:rFonts w:hint="eastAsia" w:ascii="宋体" w:eastAsia="宋体" w:cs="宋体"/>
          <w:sz w:val="21"/>
          <w:szCs w:val="21"/>
          <w:lang w:eastAsia="zh-CN"/>
        </w:rPr>
        <w:t>（</w:t>
      </w:r>
      <w:r>
        <w:rPr>
          <w:rFonts w:hint="eastAsia" w:ascii="宋体" w:eastAsia="宋体" w:cs="宋体"/>
          <w:sz w:val="21"/>
          <w:szCs w:val="21"/>
          <w:lang w:val="en-US" w:eastAsia="zh-CN"/>
        </w:rPr>
        <w:t>4）毕业证书发放</w:t>
      </w:r>
    </w:p>
    <w:p>
      <w:pPr>
        <w:pStyle w:val="41"/>
        <w:spacing w:before="156" w:beforeLines="50"/>
        <w:ind w:firstLine="420"/>
        <w:rPr>
          <w:rFonts w:hint="default" w:ascii="宋体" w:hAnsi="宋体" w:eastAsia="宋体" w:cstheme="minorBidi"/>
          <w:kern w:val="2"/>
          <w:sz w:val="21"/>
          <w:szCs w:val="21"/>
          <w:lang w:val="en-US" w:eastAsia="zh-CN" w:bidi="ar-SA"/>
        </w:rPr>
      </w:pPr>
      <w:r>
        <w:rPr>
          <w:rFonts w:hint="default" w:ascii="宋体" w:hAnsi="宋体" w:eastAsia="宋体" w:cstheme="minorBidi"/>
          <w:kern w:val="2"/>
          <w:sz w:val="21"/>
          <w:szCs w:val="21"/>
          <w:lang w:val="en-US" w:eastAsia="zh-CN" w:bidi="ar-SA"/>
        </w:rPr>
        <w:t>由培养学校分段颁发毕业证书。高职学段符合毕业条件的学生由</w:t>
      </w:r>
      <w:r>
        <w:rPr>
          <w:rFonts w:hint="eastAsia" w:ascii="宋体" w:eastAsia="宋体" w:cstheme="minorBidi"/>
          <w:kern w:val="2"/>
          <w:sz w:val="21"/>
          <w:szCs w:val="21"/>
          <w:lang w:val="en-US" w:eastAsia="zh-CN" w:bidi="ar-SA"/>
        </w:rPr>
        <w:t>广东茂名农林科技职业</w:t>
      </w:r>
      <w:r>
        <w:rPr>
          <w:rFonts w:hint="default" w:ascii="宋体" w:hAnsi="宋体" w:eastAsia="宋体" w:cstheme="minorBidi"/>
          <w:kern w:val="2"/>
          <w:sz w:val="21"/>
          <w:szCs w:val="21"/>
          <w:lang w:val="en-US" w:eastAsia="zh-CN" w:bidi="ar-SA"/>
        </w:rPr>
        <w:t xml:space="preserve">学院颁发专科毕业证书。 </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十、继续专业学习和深造建议</w:t>
      </w:r>
    </w:p>
    <w:p>
      <w:pPr>
        <w:spacing w:line="360" w:lineRule="auto"/>
        <w:ind w:firstLine="420" w:firstLineChars="200"/>
        <w:rPr>
          <w:rFonts w:ascii="宋体" w:hAnsi="宋体" w:eastAsia="宋体"/>
          <w:szCs w:val="21"/>
        </w:rPr>
      </w:pPr>
      <w:r>
        <w:rPr>
          <w:rFonts w:hint="eastAsia" w:ascii="宋体" w:hAnsi="宋体" w:eastAsia="宋体"/>
          <w:szCs w:val="21"/>
        </w:rPr>
        <w:t>学生继续专业学习深造的途径有：</w:t>
      </w:r>
    </w:p>
    <w:p>
      <w:pPr>
        <w:spacing w:line="360" w:lineRule="auto"/>
        <w:ind w:firstLine="420" w:firstLineChars="200"/>
        <w:rPr>
          <w:rFonts w:ascii="宋体" w:hAnsi="宋体" w:eastAsia="宋体"/>
          <w:szCs w:val="21"/>
        </w:rPr>
      </w:pPr>
      <w:r>
        <w:rPr>
          <w:rFonts w:hint="eastAsia" w:ascii="宋体" w:hAnsi="宋体" w:eastAsia="宋体"/>
          <w:szCs w:val="21"/>
        </w:rPr>
        <w:t xml:space="preserve">1.参加相关专业的高等自学考试(以下简称高自考)的学习高自考的学习主要采取业余 时间自主学习的方式，可以于在校期间完成。 </w:t>
      </w:r>
    </w:p>
    <w:p>
      <w:pPr>
        <w:spacing w:line="360" w:lineRule="auto"/>
        <w:ind w:firstLine="420" w:firstLineChars="200"/>
        <w:rPr>
          <w:rFonts w:ascii="宋体" w:hAnsi="宋体" w:eastAsia="宋体"/>
          <w:szCs w:val="21"/>
        </w:rPr>
      </w:pPr>
      <w:r>
        <w:rPr>
          <w:rFonts w:hint="eastAsia" w:ascii="宋体" w:hAnsi="宋体" w:eastAsia="宋体"/>
          <w:szCs w:val="21"/>
        </w:rPr>
        <w:t xml:space="preserve">2.参加专升本考试升至本科院校继续学习深造或参加函授、远程教育本科学习。食品检验检测技术专业可继续深造的本科专业包括食品卫生与营养学、食品工程，食品质量与安全等。 </w:t>
      </w:r>
    </w:p>
    <w:p>
      <w:pPr>
        <w:spacing w:line="360" w:lineRule="auto"/>
        <w:ind w:firstLine="420" w:firstLineChars="200"/>
        <w:rPr>
          <w:rFonts w:ascii="宋体" w:hAnsi="宋体" w:eastAsia="宋体"/>
          <w:szCs w:val="21"/>
        </w:rPr>
      </w:pPr>
      <w:r>
        <w:rPr>
          <w:rFonts w:hint="eastAsia" w:ascii="宋体" w:hAnsi="宋体" w:eastAsia="宋体"/>
          <w:szCs w:val="21"/>
        </w:rPr>
        <w:t xml:space="preserve">3.可考取专业相关高级工、技师技能证书。 </w:t>
      </w:r>
    </w:p>
    <w:p>
      <w:pPr>
        <w:spacing w:line="360" w:lineRule="auto"/>
        <w:ind w:firstLine="420" w:firstLineChars="200"/>
        <w:outlineLvl w:val="1"/>
        <w:rPr>
          <w:rFonts w:ascii="宋体" w:hAnsi="宋体" w:eastAsia="宋体"/>
          <w:szCs w:val="21"/>
        </w:rPr>
      </w:pPr>
      <w:r>
        <w:rPr>
          <w:rFonts w:hint="eastAsia" w:ascii="宋体" w:hAnsi="宋体" w:eastAsia="宋体"/>
          <w:szCs w:val="21"/>
        </w:rPr>
        <w:t>4.可通过有资质的中外办学合作项目或者个人通过考试，申请出国深造或出国进修和培训。</w:t>
      </w:r>
    </w:p>
    <w:p>
      <w:pPr>
        <w:spacing w:line="360" w:lineRule="auto"/>
        <w:ind w:firstLine="560" w:firstLineChars="200"/>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十一、学分转换规定</w:t>
      </w: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执行学校有关文件规定。</w:t>
      </w:r>
    </w:p>
    <w:p>
      <w:pPr>
        <w:rPr>
          <w:color w:val="2F5597" w:themeColor="accent5" w:themeShade="BF"/>
        </w:rPr>
      </w:pPr>
    </w:p>
    <w:sectPr>
      <w:footerReference r:id="rId3" w:type="default"/>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554711"/>
    </w:sdtPr>
    <w:sdtContent>
      <w:p>
        <w:pPr>
          <w:pStyle w:val="9"/>
          <w:jc w:val="center"/>
        </w:pPr>
        <w:r>
          <w:fldChar w:fldCharType="begin"/>
        </w:r>
        <w:r>
          <w:instrText xml:space="preserve">PAGE   \* MERGEFORMAT</w:instrText>
        </w:r>
        <w:r>
          <w:fldChar w:fldCharType="separate"/>
        </w:r>
        <w:r>
          <w:rPr>
            <w:lang w:val="zh-CN"/>
          </w:rPr>
          <w:t>13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37F52"/>
    <w:multiLevelType w:val="singleLevel"/>
    <w:tmpl w:val="A2337F52"/>
    <w:lvl w:ilvl="0" w:tentative="0">
      <w:start w:val="2"/>
      <w:numFmt w:val="decimal"/>
      <w:lvlText w:val="%1."/>
      <w:lvlJc w:val="left"/>
      <w:pPr>
        <w:tabs>
          <w:tab w:val="left" w:pos="312"/>
        </w:tabs>
      </w:pPr>
    </w:lvl>
  </w:abstractNum>
  <w:abstractNum w:abstractNumId="1">
    <w:nsid w:val="AFCBB689"/>
    <w:multiLevelType w:val="singleLevel"/>
    <w:tmpl w:val="AFCBB689"/>
    <w:lvl w:ilvl="0" w:tentative="0">
      <w:start w:val="2"/>
      <w:numFmt w:val="decimal"/>
      <w:suff w:val="nothing"/>
      <w:lvlText w:val="（%1）"/>
      <w:lvlJc w:val="left"/>
    </w:lvl>
  </w:abstractNum>
  <w:abstractNum w:abstractNumId="2">
    <w:nsid w:val="F26E8D88"/>
    <w:multiLevelType w:val="singleLevel"/>
    <w:tmpl w:val="F26E8D88"/>
    <w:lvl w:ilvl="0" w:tentative="0">
      <w:start w:val="4"/>
      <w:numFmt w:val="chineseCounting"/>
      <w:suff w:val="nothing"/>
      <w:lvlText w:val="%1、"/>
      <w:lvlJc w:val="left"/>
      <w:rPr>
        <w:rFonts w:hint="eastAsia"/>
      </w:rPr>
    </w:lvl>
  </w:abstractNum>
  <w:abstractNum w:abstractNumId="3">
    <w:nsid w:val="FB1580FC"/>
    <w:multiLevelType w:val="singleLevel"/>
    <w:tmpl w:val="FB1580FC"/>
    <w:lvl w:ilvl="0" w:tentative="0">
      <w:start w:val="9"/>
      <w:numFmt w:val="chineseCounting"/>
      <w:suff w:val="nothing"/>
      <w:lvlText w:val="%1、"/>
      <w:lvlJc w:val="left"/>
      <w:rPr>
        <w:rFonts w:hint="eastAsia"/>
      </w:rPr>
    </w:lvl>
  </w:abstractNum>
  <w:abstractNum w:abstractNumId="4">
    <w:nsid w:val="FD4C9774"/>
    <w:multiLevelType w:val="singleLevel"/>
    <w:tmpl w:val="FD4C9774"/>
    <w:lvl w:ilvl="0" w:tentative="0">
      <w:start w:val="4"/>
      <w:numFmt w:val="decimal"/>
      <w:suff w:val="nothing"/>
      <w:lvlText w:val="（%1）"/>
      <w:lvlJc w:val="left"/>
    </w:lvl>
  </w:abstractNum>
  <w:abstractNum w:abstractNumId="5">
    <w:nsid w:val="73376363"/>
    <w:multiLevelType w:val="singleLevel"/>
    <w:tmpl w:val="73376363"/>
    <w:lvl w:ilvl="0" w:tentative="0">
      <w:start w:val="3"/>
      <w:numFmt w:val="chineseCounting"/>
      <w:suff w:val="nothing"/>
      <w:lvlText w:val="（%1）"/>
      <w:lvlJc w:val="left"/>
      <w:rPr>
        <w:rFonts w:hint="eastAsia"/>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MmRmOGVhNmEwZjliMzgxN2RhYzgzMGZjNDFhYmIifQ=="/>
  </w:docVars>
  <w:rsids>
    <w:rsidRoot w:val="008119D3"/>
    <w:rsid w:val="00020B28"/>
    <w:rsid w:val="0002453B"/>
    <w:rsid w:val="000617C9"/>
    <w:rsid w:val="00062FBB"/>
    <w:rsid w:val="000A104F"/>
    <w:rsid w:val="000B42DD"/>
    <w:rsid w:val="000C7C24"/>
    <w:rsid w:val="000E268D"/>
    <w:rsid w:val="001147EF"/>
    <w:rsid w:val="00120654"/>
    <w:rsid w:val="00122CB0"/>
    <w:rsid w:val="00127721"/>
    <w:rsid w:val="0013019F"/>
    <w:rsid w:val="00130D98"/>
    <w:rsid w:val="00145F0E"/>
    <w:rsid w:val="001933CE"/>
    <w:rsid w:val="001C299E"/>
    <w:rsid w:val="001C5FFD"/>
    <w:rsid w:val="001C741F"/>
    <w:rsid w:val="001D3D50"/>
    <w:rsid w:val="001E5BEE"/>
    <w:rsid w:val="00200BC7"/>
    <w:rsid w:val="00225658"/>
    <w:rsid w:val="0022666B"/>
    <w:rsid w:val="002322FC"/>
    <w:rsid w:val="00237B8E"/>
    <w:rsid w:val="00256A73"/>
    <w:rsid w:val="00266045"/>
    <w:rsid w:val="002A0E33"/>
    <w:rsid w:val="002A178E"/>
    <w:rsid w:val="002A3FAA"/>
    <w:rsid w:val="002C6041"/>
    <w:rsid w:val="002D17F6"/>
    <w:rsid w:val="002D47EB"/>
    <w:rsid w:val="00305589"/>
    <w:rsid w:val="003075DC"/>
    <w:rsid w:val="00310102"/>
    <w:rsid w:val="00323BE3"/>
    <w:rsid w:val="003364AE"/>
    <w:rsid w:val="00341ED6"/>
    <w:rsid w:val="00355A8D"/>
    <w:rsid w:val="00366A5C"/>
    <w:rsid w:val="00367B1F"/>
    <w:rsid w:val="00387170"/>
    <w:rsid w:val="003910EC"/>
    <w:rsid w:val="003B2E65"/>
    <w:rsid w:val="003B5841"/>
    <w:rsid w:val="003E0E1A"/>
    <w:rsid w:val="003F35F9"/>
    <w:rsid w:val="003F4996"/>
    <w:rsid w:val="004151DC"/>
    <w:rsid w:val="00424BC4"/>
    <w:rsid w:val="00425BF1"/>
    <w:rsid w:val="0043678F"/>
    <w:rsid w:val="00453CF2"/>
    <w:rsid w:val="00456785"/>
    <w:rsid w:val="004576A8"/>
    <w:rsid w:val="00457C10"/>
    <w:rsid w:val="00466C7F"/>
    <w:rsid w:val="00491244"/>
    <w:rsid w:val="004A088A"/>
    <w:rsid w:val="004A3B01"/>
    <w:rsid w:val="004B281E"/>
    <w:rsid w:val="004B7A27"/>
    <w:rsid w:val="004C2487"/>
    <w:rsid w:val="004C43C1"/>
    <w:rsid w:val="0050028C"/>
    <w:rsid w:val="00501BEC"/>
    <w:rsid w:val="00547174"/>
    <w:rsid w:val="00555967"/>
    <w:rsid w:val="00590564"/>
    <w:rsid w:val="005A0E47"/>
    <w:rsid w:val="005A18C9"/>
    <w:rsid w:val="005A44B3"/>
    <w:rsid w:val="005E0591"/>
    <w:rsid w:val="005E23BA"/>
    <w:rsid w:val="005F0A37"/>
    <w:rsid w:val="006063FA"/>
    <w:rsid w:val="00606A48"/>
    <w:rsid w:val="00620BEE"/>
    <w:rsid w:val="006212A0"/>
    <w:rsid w:val="00621F20"/>
    <w:rsid w:val="00625002"/>
    <w:rsid w:val="00635E0A"/>
    <w:rsid w:val="0064098F"/>
    <w:rsid w:val="00656284"/>
    <w:rsid w:val="00661F68"/>
    <w:rsid w:val="00674FA1"/>
    <w:rsid w:val="0068275C"/>
    <w:rsid w:val="00696E7E"/>
    <w:rsid w:val="006976D4"/>
    <w:rsid w:val="006977E1"/>
    <w:rsid w:val="006B352B"/>
    <w:rsid w:val="006E0332"/>
    <w:rsid w:val="006E20F7"/>
    <w:rsid w:val="006F2854"/>
    <w:rsid w:val="007012A3"/>
    <w:rsid w:val="00710BF9"/>
    <w:rsid w:val="0071595C"/>
    <w:rsid w:val="00724D01"/>
    <w:rsid w:val="0074748A"/>
    <w:rsid w:val="007732CB"/>
    <w:rsid w:val="00775FB5"/>
    <w:rsid w:val="007832D6"/>
    <w:rsid w:val="00785416"/>
    <w:rsid w:val="00793965"/>
    <w:rsid w:val="007D6587"/>
    <w:rsid w:val="007D6F14"/>
    <w:rsid w:val="007F3011"/>
    <w:rsid w:val="007F3560"/>
    <w:rsid w:val="008049B2"/>
    <w:rsid w:val="00806040"/>
    <w:rsid w:val="008119D3"/>
    <w:rsid w:val="00821E37"/>
    <w:rsid w:val="00826FAB"/>
    <w:rsid w:val="00842151"/>
    <w:rsid w:val="0085416E"/>
    <w:rsid w:val="008A2D5D"/>
    <w:rsid w:val="008A4C0E"/>
    <w:rsid w:val="008B1010"/>
    <w:rsid w:val="008C1406"/>
    <w:rsid w:val="008C55CE"/>
    <w:rsid w:val="008D5738"/>
    <w:rsid w:val="0090690B"/>
    <w:rsid w:val="009441D4"/>
    <w:rsid w:val="00950150"/>
    <w:rsid w:val="00952179"/>
    <w:rsid w:val="00957B77"/>
    <w:rsid w:val="00960EE0"/>
    <w:rsid w:val="00986A98"/>
    <w:rsid w:val="009B5632"/>
    <w:rsid w:val="009C117D"/>
    <w:rsid w:val="009E74C0"/>
    <w:rsid w:val="009F2F7F"/>
    <w:rsid w:val="00A02DC3"/>
    <w:rsid w:val="00A649E2"/>
    <w:rsid w:val="00A65D1A"/>
    <w:rsid w:val="00A872C8"/>
    <w:rsid w:val="00AA10C4"/>
    <w:rsid w:val="00AA574F"/>
    <w:rsid w:val="00AA6443"/>
    <w:rsid w:val="00AA64C7"/>
    <w:rsid w:val="00AA77FE"/>
    <w:rsid w:val="00AB4E62"/>
    <w:rsid w:val="00AC1486"/>
    <w:rsid w:val="00AC1879"/>
    <w:rsid w:val="00B00A34"/>
    <w:rsid w:val="00B02ACC"/>
    <w:rsid w:val="00B15AAA"/>
    <w:rsid w:val="00B163B0"/>
    <w:rsid w:val="00B33DA7"/>
    <w:rsid w:val="00B41557"/>
    <w:rsid w:val="00B427E2"/>
    <w:rsid w:val="00B44124"/>
    <w:rsid w:val="00B63269"/>
    <w:rsid w:val="00B943AD"/>
    <w:rsid w:val="00BA728C"/>
    <w:rsid w:val="00BC3893"/>
    <w:rsid w:val="00BC3EFB"/>
    <w:rsid w:val="00BD36D2"/>
    <w:rsid w:val="00BE0CFA"/>
    <w:rsid w:val="00BE11EF"/>
    <w:rsid w:val="00C119DE"/>
    <w:rsid w:val="00C227FC"/>
    <w:rsid w:val="00C26D00"/>
    <w:rsid w:val="00C363CB"/>
    <w:rsid w:val="00C40AD5"/>
    <w:rsid w:val="00C4239D"/>
    <w:rsid w:val="00C54353"/>
    <w:rsid w:val="00C550EF"/>
    <w:rsid w:val="00C6193E"/>
    <w:rsid w:val="00C6535A"/>
    <w:rsid w:val="00C74B29"/>
    <w:rsid w:val="00CA4BB7"/>
    <w:rsid w:val="00CA7E96"/>
    <w:rsid w:val="00CB1040"/>
    <w:rsid w:val="00CB35CE"/>
    <w:rsid w:val="00CD5489"/>
    <w:rsid w:val="00D0264F"/>
    <w:rsid w:val="00D4328C"/>
    <w:rsid w:val="00D66E5B"/>
    <w:rsid w:val="00D74A0A"/>
    <w:rsid w:val="00D75501"/>
    <w:rsid w:val="00D96090"/>
    <w:rsid w:val="00DA03D9"/>
    <w:rsid w:val="00DA6AF4"/>
    <w:rsid w:val="00DB6325"/>
    <w:rsid w:val="00DB6352"/>
    <w:rsid w:val="00DD717D"/>
    <w:rsid w:val="00DE6B28"/>
    <w:rsid w:val="00E00B57"/>
    <w:rsid w:val="00E12545"/>
    <w:rsid w:val="00E13B8C"/>
    <w:rsid w:val="00E352E5"/>
    <w:rsid w:val="00E426BE"/>
    <w:rsid w:val="00E44E45"/>
    <w:rsid w:val="00E607BC"/>
    <w:rsid w:val="00E65569"/>
    <w:rsid w:val="00E74C75"/>
    <w:rsid w:val="00E85D76"/>
    <w:rsid w:val="00E877DD"/>
    <w:rsid w:val="00E934D4"/>
    <w:rsid w:val="00E93DA6"/>
    <w:rsid w:val="00F235A1"/>
    <w:rsid w:val="00F24DFA"/>
    <w:rsid w:val="00F30588"/>
    <w:rsid w:val="00F30F49"/>
    <w:rsid w:val="00F44910"/>
    <w:rsid w:val="00F45072"/>
    <w:rsid w:val="00F556DF"/>
    <w:rsid w:val="00F60F97"/>
    <w:rsid w:val="00F751FB"/>
    <w:rsid w:val="00F761DE"/>
    <w:rsid w:val="00F7667A"/>
    <w:rsid w:val="00F82787"/>
    <w:rsid w:val="00F947BE"/>
    <w:rsid w:val="00F966D7"/>
    <w:rsid w:val="00F96DA0"/>
    <w:rsid w:val="016E2F6B"/>
    <w:rsid w:val="01A076E7"/>
    <w:rsid w:val="01ED55A6"/>
    <w:rsid w:val="020640B3"/>
    <w:rsid w:val="022275D6"/>
    <w:rsid w:val="02F2197A"/>
    <w:rsid w:val="02F46F85"/>
    <w:rsid w:val="031E5874"/>
    <w:rsid w:val="03447C8F"/>
    <w:rsid w:val="035801FE"/>
    <w:rsid w:val="0394615A"/>
    <w:rsid w:val="03AD0211"/>
    <w:rsid w:val="04947DF4"/>
    <w:rsid w:val="0511188D"/>
    <w:rsid w:val="05CC64B1"/>
    <w:rsid w:val="05FB57F0"/>
    <w:rsid w:val="064D204F"/>
    <w:rsid w:val="06CA61A3"/>
    <w:rsid w:val="076F001F"/>
    <w:rsid w:val="079A4CE1"/>
    <w:rsid w:val="07BF02C6"/>
    <w:rsid w:val="07FF0C19"/>
    <w:rsid w:val="091E11DB"/>
    <w:rsid w:val="092D54BA"/>
    <w:rsid w:val="09415207"/>
    <w:rsid w:val="0951169D"/>
    <w:rsid w:val="09843E8B"/>
    <w:rsid w:val="0A5C62B7"/>
    <w:rsid w:val="0A624868"/>
    <w:rsid w:val="0BA56877"/>
    <w:rsid w:val="0BAD3B81"/>
    <w:rsid w:val="0C4315B5"/>
    <w:rsid w:val="0C8337A6"/>
    <w:rsid w:val="0CC25F19"/>
    <w:rsid w:val="0D0B610D"/>
    <w:rsid w:val="0D7D3218"/>
    <w:rsid w:val="0E4A4DF5"/>
    <w:rsid w:val="0E7762A8"/>
    <w:rsid w:val="0E80698C"/>
    <w:rsid w:val="0F5858D7"/>
    <w:rsid w:val="0F8B3909"/>
    <w:rsid w:val="0FAB6B05"/>
    <w:rsid w:val="100531C8"/>
    <w:rsid w:val="10483407"/>
    <w:rsid w:val="11A00CFE"/>
    <w:rsid w:val="128812DB"/>
    <w:rsid w:val="12DD5BFA"/>
    <w:rsid w:val="12EC0194"/>
    <w:rsid w:val="13002594"/>
    <w:rsid w:val="13095AB6"/>
    <w:rsid w:val="13473FD8"/>
    <w:rsid w:val="14102AD3"/>
    <w:rsid w:val="14393B2E"/>
    <w:rsid w:val="14F06520"/>
    <w:rsid w:val="1591718B"/>
    <w:rsid w:val="15C91658"/>
    <w:rsid w:val="162942EA"/>
    <w:rsid w:val="16596746"/>
    <w:rsid w:val="16E16A8A"/>
    <w:rsid w:val="18242A4C"/>
    <w:rsid w:val="18D468DD"/>
    <w:rsid w:val="198804EA"/>
    <w:rsid w:val="1A07746E"/>
    <w:rsid w:val="1AA243DB"/>
    <w:rsid w:val="1ABE3574"/>
    <w:rsid w:val="1B981180"/>
    <w:rsid w:val="1C24690F"/>
    <w:rsid w:val="1C2A3E77"/>
    <w:rsid w:val="1C883190"/>
    <w:rsid w:val="1CB92014"/>
    <w:rsid w:val="1E05666D"/>
    <w:rsid w:val="2023067A"/>
    <w:rsid w:val="219D715E"/>
    <w:rsid w:val="21DE144B"/>
    <w:rsid w:val="21EB5E53"/>
    <w:rsid w:val="22286093"/>
    <w:rsid w:val="2398757C"/>
    <w:rsid w:val="244F0582"/>
    <w:rsid w:val="24E07D5A"/>
    <w:rsid w:val="256B210D"/>
    <w:rsid w:val="258B55EA"/>
    <w:rsid w:val="25E77B3D"/>
    <w:rsid w:val="25ED0053"/>
    <w:rsid w:val="281C077C"/>
    <w:rsid w:val="28A3300F"/>
    <w:rsid w:val="2A7E643B"/>
    <w:rsid w:val="2AFA08A6"/>
    <w:rsid w:val="2B71435F"/>
    <w:rsid w:val="2BD43610"/>
    <w:rsid w:val="2BDD46C6"/>
    <w:rsid w:val="2C906C97"/>
    <w:rsid w:val="2DB90C8B"/>
    <w:rsid w:val="2E144204"/>
    <w:rsid w:val="2E1B5E5E"/>
    <w:rsid w:val="2E8C3146"/>
    <w:rsid w:val="2F2E6FE6"/>
    <w:rsid w:val="2F662C24"/>
    <w:rsid w:val="2FA56DB9"/>
    <w:rsid w:val="2FAC7502"/>
    <w:rsid w:val="2FCD4A51"/>
    <w:rsid w:val="307961DA"/>
    <w:rsid w:val="30984E60"/>
    <w:rsid w:val="30A7269E"/>
    <w:rsid w:val="31A27243"/>
    <w:rsid w:val="31D86E6E"/>
    <w:rsid w:val="31EF4B57"/>
    <w:rsid w:val="33354DE7"/>
    <w:rsid w:val="34586FDF"/>
    <w:rsid w:val="34F96901"/>
    <w:rsid w:val="3586192A"/>
    <w:rsid w:val="358B76D3"/>
    <w:rsid w:val="36B250CF"/>
    <w:rsid w:val="36EB33AE"/>
    <w:rsid w:val="37113D58"/>
    <w:rsid w:val="37663EEE"/>
    <w:rsid w:val="38F25328"/>
    <w:rsid w:val="3A175247"/>
    <w:rsid w:val="3A4B20C9"/>
    <w:rsid w:val="3AC727C9"/>
    <w:rsid w:val="3CF478B4"/>
    <w:rsid w:val="3E90381A"/>
    <w:rsid w:val="3FB20447"/>
    <w:rsid w:val="40BE4120"/>
    <w:rsid w:val="41A16857"/>
    <w:rsid w:val="41EA19F4"/>
    <w:rsid w:val="42EE57B6"/>
    <w:rsid w:val="4376374B"/>
    <w:rsid w:val="43C7383A"/>
    <w:rsid w:val="445B5B19"/>
    <w:rsid w:val="44610A2E"/>
    <w:rsid w:val="44654E01"/>
    <w:rsid w:val="44B446D3"/>
    <w:rsid w:val="44EE0B22"/>
    <w:rsid w:val="44F3380A"/>
    <w:rsid w:val="44FC3FBC"/>
    <w:rsid w:val="451B2DDC"/>
    <w:rsid w:val="454B40AE"/>
    <w:rsid w:val="45863281"/>
    <w:rsid w:val="45DA00FD"/>
    <w:rsid w:val="460A5CB1"/>
    <w:rsid w:val="46484787"/>
    <w:rsid w:val="46612A42"/>
    <w:rsid w:val="466752A5"/>
    <w:rsid w:val="46AA28E4"/>
    <w:rsid w:val="46F10506"/>
    <w:rsid w:val="46FA68B8"/>
    <w:rsid w:val="470C1887"/>
    <w:rsid w:val="47242BAD"/>
    <w:rsid w:val="486B1129"/>
    <w:rsid w:val="49177011"/>
    <w:rsid w:val="49AF3A68"/>
    <w:rsid w:val="49D01E40"/>
    <w:rsid w:val="4A851A64"/>
    <w:rsid w:val="4AC80F07"/>
    <w:rsid w:val="4ADD62DF"/>
    <w:rsid w:val="4B5945E0"/>
    <w:rsid w:val="4BDB2AC7"/>
    <w:rsid w:val="4BFC6A2C"/>
    <w:rsid w:val="4CE50B3C"/>
    <w:rsid w:val="4CF80107"/>
    <w:rsid w:val="4D065319"/>
    <w:rsid w:val="4D256817"/>
    <w:rsid w:val="4D293C6D"/>
    <w:rsid w:val="4E3842F5"/>
    <w:rsid w:val="4F0E49FE"/>
    <w:rsid w:val="4F522E1E"/>
    <w:rsid w:val="4F9A480B"/>
    <w:rsid w:val="4FB15A83"/>
    <w:rsid w:val="4FD11D89"/>
    <w:rsid w:val="4FD615AF"/>
    <w:rsid w:val="500E26C8"/>
    <w:rsid w:val="50A14F55"/>
    <w:rsid w:val="50D70E34"/>
    <w:rsid w:val="514F6805"/>
    <w:rsid w:val="519F25A2"/>
    <w:rsid w:val="51C818B3"/>
    <w:rsid w:val="51F73DD2"/>
    <w:rsid w:val="51FA74D0"/>
    <w:rsid w:val="52082387"/>
    <w:rsid w:val="522E0F28"/>
    <w:rsid w:val="52CA6EA2"/>
    <w:rsid w:val="5372373B"/>
    <w:rsid w:val="53D64304"/>
    <w:rsid w:val="53DA5B29"/>
    <w:rsid w:val="54144AB3"/>
    <w:rsid w:val="56054FAD"/>
    <w:rsid w:val="562F444C"/>
    <w:rsid w:val="56DA490C"/>
    <w:rsid w:val="573E3777"/>
    <w:rsid w:val="58D81F6D"/>
    <w:rsid w:val="59433A4E"/>
    <w:rsid w:val="59A246D5"/>
    <w:rsid w:val="59EE3069"/>
    <w:rsid w:val="5A362DCC"/>
    <w:rsid w:val="5A3C75BC"/>
    <w:rsid w:val="5A49490C"/>
    <w:rsid w:val="5AA434B5"/>
    <w:rsid w:val="5BFD3B48"/>
    <w:rsid w:val="5C2C297C"/>
    <w:rsid w:val="5C3A0C13"/>
    <w:rsid w:val="5D2F4693"/>
    <w:rsid w:val="5D554AE6"/>
    <w:rsid w:val="5E1C5EA2"/>
    <w:rsid w:val="5E441B9A"/>
    <w:rsid w:val="5EB01642"/>
    <w:rsid w:val="5ED03B01"/>
    <w:rsid w:val="5FEB709A"/>
    <w:rsid w:val="5FFE1286"/>
    <w:rsid w:val="602C3538"/>
    <w:rsid w:val="6111709D"/>
    <w:rsid w:val="613F7154"/>
    <w:rsid w:val="62005900"/>
    <w:rsid w:val="627D5CDF"/>
    <w:rsid w:val="6299451A"/>
    <w:rsid w:val="63295C36"/>
    <w:rsid w:val="63AA1B95"/>
    <w:rsid w:val="63B30728"/>
    <w:rsid w:val="64A84424"/>
    <w:rsid w:val="650754DB"/>
    <w:rsid w:val="65CA6FBC"/>
    <w:rsid w:val="662465F1"/>
    <w:rsid w:val="66673753"/>
    <w:rsid w:val="66A222BE"/>
    <w:rsid w:val="66B14497"/>
    <w:rsid w:val="677C0420"/>
    <w:rsid w:val="678A0DD4"/>
    <w:rsid w:val="67B325B3"/>
    <w:rsid w:val="67C717AB"/>
    <w:rsid w:val="68294213"/>
    <w:rsid w:val="68A54785"/>
    <w:rsid w:val="68D237D5"/>
    <w:rsid w:val="68EC771B"/>
    <w:rsid w:val="691357B2"/>
    <w:rsid w:val="69A31647"/>
    <w:rsid w:val="6A3C022E"/>
    <w:rsid w:val="6AEB1608"/>
    <w:rsid w:val="6B141B59"/>
    <w:rsid w:val="6B15529E"/>
    <w:rsid w:val="6B225676"/>
    <w:rsid w:val="6B2F38EF"/>
    <w:rsid w:val="6BB37866"/>
    <w:rsid w:val="6CE8356D"/>
    <w:rsid w:val="6D323FC8"/>
    <w:rsid w:val="6D513FF0"/>
    <w:rsid w:val="6D7F03DC"/>
    <w:rsid w:val="6EC10BB5"/>
    <w:rsid w:val="6F6B5594"/>
    <w:rsid w:val="702937E8"/>
    <w:rsid w:val="702E5ED2"/>
    <w:rsid w:val="705A3DC8"/>
    <w:rsid w:val="707A385E"/>
    <w:rsid w:val="70A1528F"/>
    <w:rsid w:val="70F74EAF"/>
    <w:rsid w:val="70FB41B8"/>
    <w:rsid w:val="725D341D"/>
    <w:rsid w:val="72BB3CBA"/>
    <w:rsid w:val="7306762B"/>
    <w:rsid w:val="731D3DCF"/>
    <w:rsid w:val="73470EAF"/>
    <w:rsid w:val="734737A0"/>
    <w:rsid w:val="736507F6"/>
    <w:rsid w:val="73C5551B"/>
    <w:rsid w:val="742A7349"/>
    <w:rsid w:val="74902C54"/>
    <w:rsid w:val="75330CF2"/>
    <w:rsid w:val="76674D3B"/>
    <w:rsid w:val="76CC0B8C"/>
    <w:rsid w:val="776A1E78"/>
    <w:rsid w:val="789F5947"/>
    <w:rsid w:val="78AB047A"/>
    <w:rsid w:val="7A7A02E0"/>
    <w:rsid w:val="7A8F6158"/>
    <w:rsid w:val="7AA27678"/>
    <w:rsid w:val="7B4D593B"/>
    <w:rsid w:val="7B8D5259"/>
    <w:rsid w:val="7BB063CF"/>
    <w:rsid w:val="7BC50829"/>
    <w:rsid w:val="7BCB0CAD"/>
    <w:rsid w:val="7BF24BF0"/>
    <w:rsid w:val="7CD31BA8"/>
    <w:rsid w:val="7DAE2D99"/>
    <w:rsid w:val="7DCC4A29"/>
    <w:rsid w:val="7DE3250E"/>
    <w:rsid w:val="7E2D5824"/>
    <w:rsid w:val="7E620A5F"/>
    <w:rsid w:val="7F70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semiHidden/>
    <w:unhideWhenUsed/>
    <w:qFormat/>
    <w:uiPriority w:val="99"/>
    <w:pPr>
      <w:spacing w:after="120"/>
    </w:pPr>
  </w:style>
  <w:style w:type="paragraph" w:styleId="5">
    <w:name w:val="Plain Text"/>
    <w:basedOn w:val="1"/>
    <w:link w:val="23"/>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Date"/>
    <w:basedOn w:val="1"/>
    <w:next w:val="1"/>
    <w:link w:val="24"/>
    <w:qFormat/>
    <w:uiPriority w:val="0"/>
    <w:pPr>
      <w:ind w:left="100" w:leftChars="2500"/>
    </w:pPr>
    <w:rPr>
      <w:rFonts w:ascii="Times New Roman" w:hAnsi="Times New Roman" w:eastAsia="宋体" w:cs="Times New Roman"/>
      <w:szCs w:val="24"/>
    </w:rPr>
  </w:style>
  <w:style w:type="paragraph" w:styleId="7">
    <w:name w:val="Body Text Indent 2"/>
    <w:basedOn w:val="1"/>
    <w:link w:val="25"/>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alloon Text"/>
    <w:basedOn w:val="1"/>
    <w:link w:val="26"/>
    <w:qFormat/>
    <w:uiPriority w:val="0"/>
    <w:rPr>
      <w:sz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bidi="ar-SA"/>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u w:val="single"/>
    </w:rPr>
  </w:style>
  <w:style w:type="character" w:styleId="19">
    <w:name w:val="Hyperlink"/>
    <w:qFormat/>
    <w:uiPriority w:val="99"/>
    <w:rPr>
      <w:color w:val="0000FF"/>
      <w:u w:val="single"/>
    </w:rPr>
  </w:style>
  <w:style w:type="character" w:customStyle="1" w:styleId="20">
    <w:name w:val="标题 1 Char"/>
    <w:basedOn w:val="15"/>
    <w:link w:val="2"/>
    <w:qFormat/>
    <w:uiPriority w:val="9"/>
    <w:rPr>
      <w:b/>
      <w:bCs/>
      <w:kern w:val="44"/>
      <w:sz w:val="44"/>
      <w:szCs w:val="44"/>
    </w:rPr>
  </w:style>
  <w:style w:type="character" w:customStyle="1" w:styleId="21">
    <w:name w:val="标题 2 Char"/>
    <w:basedOn w:val="15"/>
    <w:link w:val="3"/>
    <w:qFormat/>
    <w:uiPriority w:val="0"/>
    <w:rPr>
      <w:rFonts w:ascii="宋体" w:hAnsi="宋体" w:eastAsia="宋体" w:cs="宋体"/>
      <w:b/>
      <w:bCs/>
      <w:kern w:val="0"/>
      <w:sz w:val="36"/>
      <w:szCs w:val="36"/>
    </w:rPr>
  </w:style>
  <w:style w:type="character" w:customStyle="1" w:styleId="22">
    <w:name w:val="正文文本 Char"/>
    <w:basedOn w:val="15"/>
    <w:link w:val="4"/>
    <w:semiHidden/>
    <w:qFormat/>
    <w:uiPriority w:val="99"/>
  </w:style>
  <w:style w:type="character" w:customStyle="1" w:styleId="23">
    <w:name w:val="纯文本 Char"/>
    <w:basedOn w:val="15"/>
    <w:link w:val="5"/>
    <w:qFormat/>
    <w:uiPriority w:val="99"/>
    <w:rPr>
      <w:rFonts w:ascii="宋体" w:hAnsi="宋体" w:eastAsia="宋体" w:cs="宋体"/>
      <w:kern w:val="0"/>
      <w:sz w:val="24"/>
      <w:szCs w:val="24"/>
    </w:rPr>
  </w:style>
  <w:style w:type="character" w:customStyle="1" w:styleId="24">
    <w:name w:val="日期 Char"/>
    <w:basedOn w:val="15"/>
    <w:link w:val="6"/>
    <w:qFormat/>
    <w:uiPriority w:val="0"/>
    <w:rPr>
      <w:rFonts w:ascii="Times New Roman" w:hAnsi="Times New Roman" w:eastAsia="宋体" w:cs="Times New Roman"/>
      <w:szCs w:val="24"/>
    </w:rPr>
  </w:style>
  <w:style w:type="character" w:customStyle="1" w:styleId="25">
    <w:name w:val="正文文本缩进 2 Char"/>
    <w:basedOn w:val="15"/>
    <w:link w:val="7"/>
    <w:qFormat/>
    <w:uiPriority w:val="0"/>
    <w:rPr>
      <w:rFonts w:ascii="宋体" w:hAnsi="宋体" w:eastAsia="宋体" w:cs="宋体"/>
      <w:kern w:val="0"/>
      <w:sz w:val="24"/>
      <w:szCs w:val="24"/>
    </w:rPr>
  </w:style>
  <w:style w:type="character" w:customStyle="1" w:styleId="26">
    <w:name w:val="批注框文本 Char"/>
    <w:link w:val="8"/>
    <w:qFormat/>
    <w:uiPriority w:val="0"/>
    <w:rPr>
      <w:sz w:val="18"/>
    </w:rPr>
  </w:style>
  <w:style w:type="character" w:customStyle="1" w:styleId="27">
    <w:name w:val="页脚 Char"/>
    <w:basedOn w:val="15"/>
    <w:link w:val="9"/>
    <w:qFormat/>
    <w:uiPriority w:val="99"/>
    <w:rPr>
      <w:sz w:val="18"/>
      <w:szCs w:val="18"/>
    </w:rPr>
  </w:style>
  <w:style w:type="character" w:customStyle="1" w:styleId="28">
    <w:name w:val="页眉 Char"/>
    <w:basedOn w:val="15"/>
    <w:link w:val="10"/>
    <w:qFormat/>
    <w:uiPriority w:val="0"/>
    <w:rPr>
      <w:sz w:val="18"/>
      <w:szCs w:val="18"/>
    </w:rPr>
  </w:style>
  <w:style w:type="paragraph" w:customStyle="1" w:styleId="29">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Char"/>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1">
    <w:name w:val="自定义正文 Char Char"/>
    <w:basedOn w:val="1"/>
    <w:next w:val="1"/>
    <w:qFormat/>
    <w:uiPriority w:val="0"/>
    <w:pPr>
      <w:widowControl/>
      <w:spacing w:line="560" w:lineRule="exact"/>
      <w:ind w:firstLine="560" w:firstLineChars="200"/>
    </w:pPr>
    <w:rPr>
      <w:rFonts w:ascii="宋体" w:hAnsi="宋体" w:eastAsia="宋体" w:cs="Times New Roman"/>
      <w:sz w:val="28"/>
      <w:szCs w:val="28"/>
    </w:rPr>
  </w:style>
  <w:style w:type="paragraph" w:customStyle="1" w:styleId="32">
    <w:name w:val="表格标题"/>
    <w:basedOn w:val="1"/>
    <w:qFormat/>
    <w:uiPriority w:val="0"/>
    <w:pPr>
      <w:ind w:firstLine="200" w:firstLineChars="200"/>
      <w:jc w:val="center"/>
      <w:outlineLvl w:val="1"/>
    </w:pPr>
    <w:rPr>
      <w:rFonts w:ascii="Times New Roman" w:hAnsi="Times New Roman" w:eastAsia="宋体" w:cs="Times New Roman"/>
      <w:b/>
      <w:sz w:val="24"/>
      <w:szCs w:val="24"/>
    </w:rPr>
  </w:style>
  <w:style w:type="paragraph" w:customStyle="1" w:styleId="33">
    <w:name w:val="表内容"/>
    <w:basedOn w:val="1"/>
    <w:qFormat/>
    <w:uiPriority w:val="0"/>
    <w:pPr>
      <w:adjustRightInd w:val="0"/>
      <w:snapToGrid w:val="0"/>
      <w:spacing w:line="310" w:lineRule="atLeast"/>
      <w:jc w:val="center"/>
    </w:pPr>
    <w:rPr>
      <w:rFonts w:ascii="Times New Roman" w:hAnsi="Times New Roman" w:eastAsia="宋体" w:cs="Times New Roman"/>
      <w:sz w:val="18"/>
      <w:szCs w:val="20"/>
    </w:rPr>
  </w:style>
  <w:style w:type="paragraph" w:customStyle="1" w:styleId="34">
    <w:name w:val="图内文字"/>
    <w:basedOn w:val="1"/>
    <w:qFormat/>
    <w:uiPriority w:val="0"/>
    <w:pPr>
      <w:spacing w:line="0" w:lineRule="atLeast"/>
      <w:jc w:val="center"/>
    </w:pPr>
    <w:rPr>
      <w:rFonts w:ascii="Times New Roman" w:hAnsi="Times New Roman" w:eastAsia="宋体" w:cs="Times New Roman"/>
      <w:b/>
      <w:sz w:val="18"/>
      <w:szCs w:val="24"/>
    </w:rPr>
  </w:style>
  <w:style w:type="paragraph" w:customStyle="1" w:styleId="3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36">
    <w:name w:val="批注框文本 Char1"/>
    <w:basedOn w:val="15"/>
    <w:qFormat/>
    <w:uiPriority w:val="0"/>
    <w:rPr>
      <w:sz w:val="18"/>
      <w:szCs w:val="18"/>
    </w:rPr>
  </w:style>
  <w:style w:type="paragraph" w:customStyle="1" w:styleId="37">
    <w:name w:val="Char1"/>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38">
    <w:name w:val="List Paragraph"/>
    <w:basedOn w:val="1"/>
    <w:qFormat/>
    <w:uiPriority w:val="34"/>
    <w:pPr>
      <w:ind w:firstLine="420" w:firstLineChars="200"/>
    </w:pPr>
  </w:style>
  <w:style w:type="character" w:customStyle="1" w:styleId="39">
    <w:name w:val="wp_visitcount"/>
    <w:basedOn w:val="15"/>
    <w:qFormat/>
    <w:uiPriority w:val="0"/>
  </w:style>
  <w:style w:type="paragraph" w:styleId="40">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41">
    <w:name w:val="——正文E2"/>
    <w:basedOn w:val="1"/>
    <w:qFormat/>
    <w:uiPriority w:val="0"/>
    <w:pPr>
      <w:spacing w:line="360" w:lineRule="auto"/>
      <w:ind w:firstLine="480" w:firstLineChars="200"/>
    </w:pPr>
    <w:rPr>
      <w:rFonts w:ascii="仿宋_GB2312" w:hAnsi="宋体" w:eastAsia="仿宋_GB2312"/>
      <w:sz w:val="24"/>
    </w:rPr>
  </w:style>
  <w:style w:type="character" w:customStyle="1" w:styleId="42">
    <w:name w:val="fontstyle01"/>
    <w:basedOn w:val="15"/>
    <w:qFormat/>
    <w:uiPriority w:val="0"/>
    <w:rPr>
      <w:rFonts w:hint="eastAsia" w:ascii="宋体" w:hAnsi="宋体" w:eastAsia="宋体"/>
      <w:color w:val="000000"/>
      <w:sz w:val="24"/>
      <w:szCs w:val="24"/>
    </w:rPr>
  </w:style>
  <w:style w:type="paragraph" w:customStyle="1" w:styleId="43">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44">
    <w:name w:val="font5"/>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5">
    <w:name w:val="font6"/>
    <w:basedOn w:val="1"/>
    <w:qFormat/>
    <w:uiPriority w:val="0"/>
    <w:pPr>
      <w:widowControl/>
      <w:spacing w:before="100" w:beforeAutospacing="1" w:after="100" w:afterAutospacing="1"/>
      <w:jc w:val="left"/>
    </w:pPr>
    <w:rPr>
      <w:rFonts w:ascii="宋体" w:hAnsi="宋体" w:eastAsia="宋体" w:cs="宋体"/>
      <w:b/>
      <w:bCs/>
      <w:kern w:val="0"/>
      <w:szCs w:val="21"/>
    </w:rPr>
  </w:style>
  <w:style w:type="paragraph" w:customStyle="1" w:styleId="46">
    <w:name w:val="font7"/>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7">
    <w:name w:val="font8"/>
    <w:basedOn w:val="1"/>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48">
    <w:name w:val="font9"/>
    <w:basedOn w:val="1"/>
    <w:qFormat/>
    <w:uiPriority w:val="0"/>
    <w:pPr>
      <w:widowControl/>
      <w:spacing w:before="100" w:beforeAutospacing="1" w:after="100" w:afterAutospacing="1"/>
      <w:jc w:val="left"/>
    </w:pPr>
    <w:rPr>
      <w:rFonts w:ascii="宋体" w:hAnsi="宋体" w:eastAsia="宋体" w:cs="宋体"/>
      <w:b/>
      <w:bCs/>
      <w:color w:val="FF0000"/>
      <w:kern w:val="0"/>
      <w:szCs w:val="21"/>
    </w:rPr>
  </w:style>
  <w:style w:type="paragraph" w:customStyle="1" w:styleId="4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font11"/>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51">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2">
    <w:name w:val="font13"/>
    <w:basedOn w:val="1"/>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53">
    <w:name w:val="font14"/>
    <w:basedOn w:val="1"/>
    <w:qFormat/>
    <w:uiPriority w:val="0"/>
    <w:pPr>
      <w:widowControl/>
      <w:spacing w:before="100" w:beforeAutospacing="1" w:after="100" w:afterAutospacing="1"/>
      <w:jc w:val="left"/>
    </w:pPr>
    <w:rPr>
      <w:rFonts w:ascii="宋体" w:hAnsi="宋体" w:eastAsia="宋体" w:cs="宋体"/>
      <w:b/>
      <w:bCs/>
      <w:kern w:val="0"/>
      <w:szCs w:val="21"/>
    </w:rPr>
  </w:style>
  <w:style w:type="paragraph" w:customStyle="1" w:styleId="54">
    <w:name w:val="xl63"/>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55">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56">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57">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58">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59">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Cs w:val="21"/>
    </w:rPr>
  </w:style>
  <w:style w:type="paragraph" w:customStyle="1" w:styleId="60">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61">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Cs w:val="21"/>
    </w:rPr>
  </w:style>
  <w:style w:type="paragraph" w:customStyle="1" w:styleId="62">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Cs w:val="21"/>
    </w:rPr>
  </w:style>
  <w:style w:type="paragraph" w:customStyle="1" w:styleId="63">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64">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7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Cs w:val="21"/>
    </w:rPr>
  </w:style>
  <w:style w:type="paragraph" w:customStyle="1" w:styleId="67">
    <w:name w:val="xl7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68">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Cs w:val="21"/>
    </w:rPr>
  </w:style>
  <w:style w:type="paragraph" w:customStyle="1" w:styleId="69">
    <w:name w:val="xl7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70">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Cs w:val="21"/>
    </w:rPr>
  </w:style>
  <w:style w:type="paragraph" w:customStyle="1" w:styleId="71">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72">
    <w:name w:val="xl81"/>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73">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74">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75">
    <w:name w:val="xl84"/>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eastAsia="宋体" w:cs="宋体"/>
      <w:kern w:val="0"/>
      <w:szCs w:val="21"/>
    </w:rPr>
  </w:style>
  <w:style w:type="paragraph" w:customStyle="1" w:styleId="76">
    <w:name w:val="xl8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77">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78">
    <w:name w:val="xl8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79">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Cs w:val="21"/>
    </w:rPr>
  </w:style>
  <w:style w:type="paragraph" w:customStyle="1" w:styleId="80">
    <w:name w:val="xl8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Cs w:val="21"/>
    </w:rPr>
  </w:style>
  <w:style w:type="paragraph" w:customStyle="1" w:styleId="82">
    <w:name w:val="xl9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3">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Cs w:val="21"/>
    </w:rPr>
  </w:style>
  <w:style w:type="paragraph" w:customStyle="1" w:styleId="84">
    <w:name w:val="xl9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5">
    <w:name w:val="xl94"/>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Cs w:val="21"/>
    </w:rPr>
  </w:style>
  <w:style w:type="paragraph" w:customStyle="1" w:styleId="87">
    <w:name w:val="xl96"/>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8">
    <w:name w:val="xl9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89">
    <w:name w:val="xl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0">
    <w:name w:val="xl9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Cs w:val="21"/>
    </w:rPr>
  </w:style>
  <w:style w:type="paragraph" w:customStyle="1" w:styleId="9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9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93">
    <w:name w:val="xl10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4">
    <w:name w:val="xl103"/>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5">
    <w:name w:val="xl10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6">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Cs w:val="21"/>
    </w:rPr>
  </w:style>
  <w:style w:type="paragraph" w:customStyle="1" w:styleId="97">
    <w:name w:val="xl10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8">
    <w:name w:val="xl10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99">
    <w:name w:val="xl10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00">
    <w:name w:val="xl109"/>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01">
    <w:name w:val="xl110"/>
    <w:basedOn w:val="1"/>
    <w:qFormat/>
    <w:uiPriority w:val="0"/>
    <w:pPr>
      <w:widowControl/>
      <w:pBdr>
        <w:top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02">
    <w:name w:val="xl111"/>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03">
    <w:name w:val="xl11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04">
    <w:name w:val="xl113"/>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05">
    <w:name w:val="xl114"/>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06">
    <w:name w:val="xl115"/>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07">
    <w:name w:val="xl116"/>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08">
    <w:name w:val="xl117"/>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09">
    <w:name w:val="xl118"/>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10">
    <w:name w:val="xl119"/>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11">
    <w:name w:val="xl120"/>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112">
    <w:name w:val="xl12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Cs w:val="21"/>
    </w:rPr>
  </w:style>
  <w:style w:type="paragraph" w:customStyle="1" w:styleId="113">
    <w:name w:val="xl12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Cs w:val="21"/>
    </w:rPr>
  </w:style>
  <w:style w:type="paragraph" w:customStyle="1" w:styleId="114">
    <w:name w:val="xl123"/>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Cs w:val="21"/>
    </w:rPr>
  </w:style>
  <w:style w:type="character" w:customStyle="1" w:styleId="115">
    <w:name w:val="font21"/>
    <w:basedOn w:val="15"/>
    <w:qFormat/>
    <w:uiPriority w:val="0"/>
    <w:rPr>
      <w:rFonts w:hint="eastAsia" w:ascii="宋体" w:hAnsi="宋体" w:eastAsia="宋体" w:cs="宋体"/>
      <w:color w:val="000000"/>
      <w:sz w:val="21"/>
      <w:szCs w:val="21"/>
      <w:u w:val="none"/>
    </w:rPr>
  </w:style>
  <w:style w:type="character" w:customStyle="1" w:styleId="116">
    <w:name w:val="font61"/>
    <w:basedOn w:val="15"/>
    <w:qFormat/>
    <w:uiPriority w:val="0"/>
    <w:rPr>
      <w:rFonts w:hint="default" w:ascii="Times New Roman" w:hAnsi="Times New Roman" w:cs="Times New Roman"/>
      <w:color w:val="000000"/>
      <w:sz w:val="21"/>
      <w:szCs w:val="21"/>
      <w:u w:val="none"/>
    </w:rPr>
  </w:style>
  <w:style w:type="character" w:customStyle="1" w:styleId="117">
    <w:name w:val="font81"/>
    <w:basedOn w:val="15"/>
    <w:qFormat/>
    <w:uiPriority w:val="0"/>
    <w:rPr>
      <w:rFonts w:hint="eastAsia" w:ascii="宋体" w:hAnsi="宋体" w:eastAsia="宋体" w:cs="宋体"/>
      <w:b/>
      <w:bCs/>
      <w:color w:val="FF0000"/>
      <w:sz w:val="21"/>
      <w:szCs w:val="21"/>
      <w:u w:val="none"/>
    </w:rPr>
  </w:style>
  <w:style w:type="character" w:customStyle="1" w:styleId="118">
    <w:name w:val="font31"/>
    <w:basedOn w:val="15"/>
    <w:qFormat/>
    <w:uiPriority w:val="0"/>
    <w:rPr>
      <w:rFonts w:hint="eastAsia" w:ascii="宋体" w:hAnsi="宋体" w:eastAsia="宋体" w:cs="宋体"/>
      <w:color w:val="000000"/>
      <w:sz w:val="21"/>
      <w:szCs w:val="21"/>
      <w:u w:val="none"/>
    </w:rPr>
  </w:style>
  <w:style w:type="character" w:customStyle="1" w:styleId="119">
    <w:name w:val="font01"/>
    <w:basedOn w:val="15"/>
    <w:qFormat/>
    <w:uiPriority w:val="0"/>
    <w:rPr>
      <w:rFonts w:hint="default" w:ascii="Times New Roman" w:hAnsi="Times New Roman" w:cs="Times New Roman"/>
      <w:color w:val="000000"/>
      <w:sz w:val="21"/>
      <w:szCs w:val="21"/>
      <w:u w:val="none"/>
    </w:rPr>
  </w:style>
  <w:style w:type="character" w:customStyle="1" w:styleId="120">
    <w:name w:val="font51"/>
    <w:basedOn w:val="15"/>
    <w:qFormat/>
    <w:uiPriority w:val="0"/>
    <w:rPr>
      <w:rFonts w:hint="eastAsia" w:ascii="宋体" w:hAnsi="宋体" w:eastAsia="宋体" w:cs="宋体"/>
      <w:color w:val="000000"/>
      <w:sz w:val="21"/>
      <w:szCs w:val="21"/>
      <w:u w:val="none"/>
    </w:rPr>
  </w:style>
  <w:style w:type="paragraph" w:customStyle="1" w:styleId="121">
    <w:name w:val="xl124"/>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22">
    <w:name w:val="xl125"/>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23">
    <w:name w:val="xl126"/>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paragraph" w:customStyle="1" w:styleId="124">
    <w:name w:val="xl127"/>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eastAsia="宋体" w:cs="宋体"/>
      <w:kern w:val="0"/>
      <w:szCs w:val="21"/>
    </w:rPr>
  </w:style>
  <w:style w:type="table" w:customStyle="1" w:styleId="1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B7B7C-7EC6-4C43-A4AA-CD1B65ABA36E}">
  <ds:schemaRefs/>
</ds:datastoreItem>
</file>

<file path=docProps/app.xml><?xml version="1.0" encoding="utf-8"?>
<Properties xmlns="http://schemas.openxmlformats.org/officeDocument/2006/extended-properties" xmlns:vt="http://schemas.openxmlformats.org/officeDocument/2006/docPropsVTypes">
  <Template>Normal</Template>
  <Company>Pe8.net</Company>
  <Pages>25</Pages>
  <Words>16372</Words>
  <Characters>17359</Characters>
  <Lines>121</Lines>
  <Paragraphs>34</Paragraphs>
  <TotalTime>12</TotalTime>
  <ScaleCrop>false</ScaleCrop>
  <LinksUpToDate>false</LinksUpToDate>
  <CharactersWithSpaces>17852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2018-08-08T09:32:00Z</dcterms:created>
  <dc:creator>Administrator</dc:creator>
  <cp:lastModifiedBy>alin</cp:lastModifiedBy>
  <cp:lastPrinted>2020-10-12T07:47:00Z</cp:lastPrinted>
  <dcterms:modified xsi:type="dcterms:W3CDTF">2022-11-02T02:47:42Z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F4A9658F94EA4E68A44D0ED64267CA9D</vt:lpwstr>
  </property>
</Properties>
</file>