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8" w:afterLines="25" w:line="480" w:lineRule="auto"/>
        <w:jc w:val="center"/>
      </w:pPr>
      <w:r>
        <w:fldChar w:fldCharType="begin"/>
      </w:r>
      <w:r>
        <w:instrText xml:space="preserve"> INCLUDEPICTURE "https://gss2.bdstatic.com/9fo3dSag_xI4khGkpoWK1HF6hhy/baike/s%3D220/sign=9de876ecaeec08fa220014a569ef3d4d/3bf33a87e950352aacb7f75b5d43fbf2b3118b8b.jpg" \* MERGEFORMATINET </w:instrText>
      </w:r>
      <w:r>
        <w:fldChar w:fldCharType="separate"/>
      </w:r>
      <w:r>
        <w:drawing>
          <wp:inline distT="0" distB="0" distL="0" distR="0">
            <wp:extent cx="1224280" cy="1174750"/>
            <wp:effectExtent l="0" t="0" r="7620" b="6350"/>
            <wp:docPr id="1026" name="图片 1" descr="3bf33a87e950352aacb7f75b5d43fbf2b3118b8b"/>
            <wp:cNvGraphicFramePr/>
            <a:graphic xmlns:a="http://schemas.openxmlformats.org/drawingml/2006/main">
              <a:graphicData uri="http://schemas.openxmlformats.org/drawingml/2006/picture">
                <pic:pic xmlns:pic="http://schemas.openxmlformats.org/drawingml/2006/picture">
                  <pic:nvPicPr>
                    <pic:cNvPr id="1026" name="图片 1" descr="3bf33a87e950352aacb7f75b5d43fbf2b3118b8b"/>
                    <pic:cNvPicPr/>
                  </pic:nvPicPr>
                  <pic:blipFill>
                    <a:blip r:embed="rId7" cstate="print"/>
                    <a:srcRect/>
                    <a:stretch>
                      <a:fillRect/>
                    </a:stretch>
                  </pic:blipFill>
                  <pic:spPr>
                    <a:xfrm>
                      <a:off x="0" y="0"/>
                      <a:ext cx="1224280" cy="1174750"/>
                    </a:xfrm>
                    <a:prstGeom prst="rect">
                      <a:avLst/>
                    </a:prstGeom>
                    <a:ln>
                      <a:noFill/>
                    </a:ln>
                  </pic:spPr>
                </pic:pic>
              </a:graphicData>
            </a:graphic>
          </wp:inline>
        </w:drawing>
      </w:r>
      <w:r>
        <w:fldChar w:fldCharType="end"/>
      </w:r>
    </w:p>
    <w:p>
      <w:pPr>
        <w:widowControl/>
        <w:spacing w:after="78" w:afterLines="25" w:line="48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广东茂名农林科技职业学院</w:t>
      </w:r>
    </w:p>
    <w:p>
      <w:pPr>
        <w:widowControl/>
        <w:spacing w:after="78" w:afterLines="25" w:line="480" w:lineRule="auto"/>
        <w:jc w:val="center"/>
        <w:rPr>
          <w:rFonts w:ascii="宋体" w:hAnsi="宋体" w:cs="宋体"/>
          <w:b/>
          <w:bCs/>
          <w:kern w:val="0"/>
          <w:sz w:val="48"/>
          <w:szCs w:val="48"/>
        </w:rPr>
      </w:pPr>
      <w:r>
        <w:rPr>
          <w:rFonts w:hint="eastAsia" w:ascii="黑体" w:hAnsi="黑体" w:eastAsia="黑体" w:cs="黑体"/>
          <w:b/>
          <w:bCs/>
          <w:kern w:val="0"/>
          <w:sz w:val="52"/>
          <w:szCs w:val="52"/>
        </w:rPr>
        <w:t>专业人才培养方案（修订版）</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级)</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ind w:firstLine="1446" w:firstLineChars="400"/>
        <w:jc w:val="left"/>
        <w:rPr>
          <w:rFonts w:ascii="仿宋" w:hAnsi="仿宋" w:eastAsia="仿宋" w:cs="仿宋"/>
          <w:b/>
          <w:bCs/>
        </w:rPr>
      </w:pPr>
      <w:r>
        <w:rPr>
          <w:rFonts w:hint="eastAsia" w:ascii="仿宋" w:hAnsi="仿宋" w:eastAsia="仿宋" w:cs="仿宋"/>
          <w:b/>
          <w:bCs/>
          <w:kern w:val="0"/>
          <w:sz w:val="36"/>
          <w:szCs w:val="36"/>
        </w:rPr>
        <w:t xml:space="preserve">专 业 名 称 </w:t>
      </w:r>
      <w:r>
        <w:rPr>
          <w:rFonts w:hint="eastAsia" w:ascii="仿宋" w:hAnsi="仿宋" w:eastAsia="仿宋" w:cs="仿宋"/>
          <w:b/>
          <w:bCs/>
          <w:kern w:val="0"/>
          <w:sz w:val="36"/>
          <w:szCs w:val="36"/>
          <w:u w:val="single"/>
        </w:rPr>
        <w:t xml:space="preserve">   中西面点工艺  </w:t>
      </w:r>
    </w:p>
    <w:p>
      <w:pPr>
        <w:widowControl/>
        <w:ind w:firstLine="1446" w:firstLineChars="400"/>
        <w:jc w:val="left"/>
        <w:rPr>
          <w:rFonts w:ascii="仿宋" w:hAnsi="仿宋" w:eastAsia="仿宋" w:cs="仿宋"/>
          <w:b/>
          <w:bCs/>
          <w:u w:val="single"/>
        </w:rPr>
      </w:pPr>
      <w:r>
        <w:rPr>
          <w:rFonts w:hint="eastAsia" w:ascii="仿宋" w:hAnsi="仿宋" w:eastAsia="仿宋" w:cs="仿宋"/>
          <w:b/>
          <w:bCs/>
          <w:kern w:val="0"/>
          <w:sz w:val="36"/>
          <w:szCs w:val="36"/>
        </w:rPr>
        <w:t xml:space="preserve">专 业 代 码 </w:t>
      </w:r>
      <w:r>
        <w:rPr>
          <w:rFonts w:hint="eastAsia" w:ascii="仿宋" w:hAnsi="仿宋" w:eastAsia="仿宋" w:cs="仿宋"/>
          <w:b/>
          <w:bCs/>
          <w:kern w:val="0"/>
          <w:sz w:val="36"/>
          <w:szCs w:val="36"/>
          <w:u w:val="single"/>
        </w:rPr>
        <w:t xml:space="preserve">      540203     </w:t>
      </w:r>
    </w:p>
    <w:p>
      <w:pPr>
        <w:widowControl/>
        <w:ind w:firstLine="1446" w:firstLineChars="400"/>
        <w:rPr>
          <w:rFonts w:ascii="仿宋" w:hAnsi="仿宋" w:eastAsia="仿宋" w:cs="仿宋"/>
          <w:b/>
          <w:bCs/>
        </w:rPr>
      </w:pPr>
      <w:r>
        <w:rPr>
          <w:rFonts w:hint="eastAsia" w:ascii="仿宋" w:hAnsi="仿宋" w:eastAsia="仿宋" w:cs="仿宋"/>
          <w:b/>
          <w:bCs/>
          <w:kern w:val="0"/>
          <w:sz w:val="36"/>
          <w:szCs w:val="36"/>
          <w:lang w:val="en-US" w:eastAsia="zh-CN"/>
        </w:rPr>
        <w:t>修</w:t>
      </w:r>
      <w:r>
        <w:rPr>
          <w:rFonts w:hint="eastAsia" w:ascii="仿宋" w:hAnsi="仿宋" w:eastAsia="仿宋" w:cs="仿宋"/>
          <w:b/>
          <w:bCs/>
          <w:kern w:val="0"/>
          <w:sz w:val="36"/>
          <w:szCs w:val="36"/>
        </w:rPr>
        <w:t xml:space="preserve"> 订 部 门 </w:t>
      </w:r>
      <w:r>
        <w:rPr>
          <w:rFonts w:hint="eastAsia" w:ascii="仿宋" w:hAnsi="仿宋" w:eastAsia="仿宋" w:cs="仿宋"/>
          <w:b/>
          <w:bCs/>
          <w:kern w:val="0"/>
          <w:sz w:val="36"/>
          <w:szCs w:val="36"/>
          <w:u w:val="single"/>
        </w:rPr>
        <w:t xml:space="preserve">   食品工程系 </w:t>
      </w:r>
      <w:r>
        <w:rPr>
          <w:rFonts w:ascii="仿宋" w:hAnsi="仿宋" w:eastAsia="仿宋" w:cs="仿宋"/>
          <w:b/>
          <w:bCs/>
          <w:kern w:val="0"/>
          <w:sz w:val="36"/>
          <w:szCs w:val="36"/>
          <w:u w:val="single"/>
        </w:rPr>
        <w:t xml:space="preserve">  </w:t>
      </w:r>
      <w:r>
        <w:rPr>
          <w:rFonts w:hint="eastAsia" w:ascii="仿宋" w:hAnsi="仿宋" w:eastAsia="仿宋" w:cs="仿宋"/>
          <w:b/>
          <w:bCs/>
          <w:kern w:val="0"/>
          <w:sz w:val="36"/>
          <w:szCs w:val="36"/>
          <w:u w:val="single"/>
        </w:rPr>
        <w:t xml:space="preserve"> </w:t>
      </w:r>
    </w:p>
    <w:p>
      <w:pPr>
        <w:widowControl/>
        <w:ind w:firstLine="1446" w:firstLineChars="400"/>
        <w:jc w:val="left"/>
      </w:pPr>
      <w:r>
        <w:rPr>
          <w:rFonts w:hint="eastAsia" w:ascii="仿宋" w:hAnsi="仿宋" w:eastAsia="仿宋" w:cs="仿宋"/>
          <w:b/>
          <w:bCs/>
          <w:kern w:val="0"/>
          <w:sz w:val="36"/>
          <w:szCs w:val="36"/>
          <w:lang w:val="en-US" w:eastAsia="zh-CN"/>
        </w:rPr>
        <w:t>修</w:t>
      </w:r>
      <w:bookmarkStart w:id="0" w:name="_GoBack"/>
      <w:bookmarkEnd w:id="0"/>
      <w:r>
        <w:rPr>
          <w:rFonts w:hint="eastAsia" w:ascii="仿宋" w:hAnsi="仿宋" w:eastAsia="仿宋" w:cs="仿宋"/>
          <w:b/>
          <w:bCs/>
          <w:kern w:val="0"/>
          <w:sz w:val="36"/>
          <w:szCs w:val="36"/>
        </w:rPr>
        <w:t xml:space="preserve"> 订 时 间 </w:t>
      </w:r>
      <w:r>
        <w:rPr>
          <w:rFonts w:hint="eastAsia" w:ascii="仿宋" w:hAnsi="仿宋" w:eastAsia="仿宋" w:cs="仿宋"/>
          <w:b/>
          <w:bCs/>
          <w:kern w:val="0"/>
          <w:sz w:val="36"/>
          <w:szCs w:val="36"/>
          <w:u w:val="single"/>
        </w:rPr>
        <w:t xml:space="preserve">    </w:t>
      </w:r>
      <w:r>
        <w:rPr>
          <w:rFonts w:hint="eastAsia" w:ascii="仿宋" w:hAnsi="仿宋" w:eastAsia="仿宋" w:cs="仿宋"/>
          <w:b/>
          <w:bCs/>
          <w:kern w:val="0"/>
          <w:sz w:val="36"/>
          <w:szCs w:val="36"/>
          <w:u w:val="single"/>
          <w:lang w:val="en-US" w:eastAsia="zh-CN"/>
        </w:rPr>
        <w:t>2022年6月</w:t>
      </w:r>
      <w:r>
        <w:rPr>
          <w:rFonts w:hint="eastAsia" w:ascii="仿宋" w:hAnsi="仿宋" w:eastAsia="仿宋" w:cs="仿宋"/>
          <w:b/>
          <w:bCs/>
          <w:kern w:val="0"/>
          <w:sz w:val="36"/>
          <w:szCs w:val="36"/>
          <w:u w:val="single"/>
        </w:rPr>
        <w:t xml:space="preserve">   </w:t>
      </w:r>
    </w:p>
    <w:p>
      <w:pPr>
        <w:rPr>
          <w:rFonts w:eastAsia="黑体"/>
          <w:kern w:val="0"/>
          <w:sz w:val="44"/>
          <w:szCs w:val="44"/>
        </w:rPr>
      </w:pPr>
    </w:p>
    <w:p>
      <w:pPr>
        <w:widowControl/>
        <w:spacing w:after="78" w:afterLines="25"/>
        <w:jc w:val="center"/>
        <w:rPr>
          <w:rFonts w:ascii="黑体" w:hAnsi="黑体" w:eastAsia="黑体" w:cs="宋体"/>
          <w:b/>
          <w:bCs/>
          <w:kern w:val="0"/>
          <w:sz w:val="36"/>
          <w:szCs w:val="36"/>
        </w:rPr>
      </w:pPr>
      <w:r>
        <w:rPr>
          <w:rFonts w:hint="eastAsia" w:eastAsia="黑体"/>
          <w:kern w:val="0"/>
          <w:sz w:val="28"/>
          <w:szCs w:val="28"/>
        </w:rPr>
        <w:t>广东茂名农林科技职业学院制</w:t>
      </w:r>
    </w:p>
    <w:p>
      <w:pPr>
        <w:widowControl/>
        <w:spacing w:after="78" w:afterLines="25"/>
        <w:jc w:val="center"/>
        <w:rPr>
          <w:rFonts w:ascii="黑体" w:hAnsi="黑体" w:eastAsia="黑体" w:cs="宋体"/>
          <w:b/>
          <w:bCs/>
          <w:kern w:val="0"/>
          <w:sz w:val="44"/>
          <w:szCs w:val="44"/>
        </w:rPr>
        <w:sectPr>
          <w:headerReference r:id="rId3" w:type="default"/>
          <w:footerReference r:id="rId4" w:type="default"/>
          <w:pgSz w:w="11906" w:h="16838"/>
          <w:pgMar w:top="1417" w:right="1417" w:bottom="1417" w:left="1417" w:header="851" w:footer="992" w:gutter="0"/>
          <w:cols w:space="425" w:num="1"/>
          <w:docGrid w:type="lines" w:linePitch="312" w:charSpace="0"/>
        </w:sectPr>
      </w:pPr>
    </w:p>
    <w:p>
      <w:pPr>
        <w:widowControl/>
        <w:spacing w:after="78" w:afterLines="25"/>
        <w:jc w:val="center"/>
        <w:rPr>
          <w:rFonts w:ascii="黑体" w:hAnsi="黑体" w:eastAsia="黑体" w:cs="宋体"/>
          <w:b/>
          <w:bCs/>
          <w:kern w:val="0"/>
          <w:sz w:val="44"/>
          <w:szCs w:val="44"/>
          <w:lang w:val="en-GB"/>
        </w:rPr>
      </w:pPr>
      <w:r>
        <w:rPr>
          <w:rFonts w:hint="eastAsia" w:ascii="黑体" w:hAnsi="黑体" w:eastAsia="黑体" w:cs="宋体"/>
          <w:b/>
          <w:bCs/>
          <w:kern w:val="0"/>
          <w:sz w:val="44"/>
          <w:szCs w:val="44"/>
        </w:rPr>
        <w:t>中西面点工艺专业人才培养方案</w:t>
      </w:r>
    </w:p>
    <w:p>
      <w:pPr>
        <w:spacing w:line="360" w:lineRule="auto"/>
        <w:rPr>
          <w:rFonts w:ascii="黑体" w:hAnsi="黑体" w:eastAsia="黑体" w:cs="宋体"/>
          <w:b/>
          <w:sz w:val="28"/>
          <w:szCs w:val="28"/>
        </w:rPr>
      </w:pPr>
    </w:p>
    <w:p>
      <w:pPr>
        <w:spacing w:line="360" w:lineRule="auto"/>
        <w:ind w:firstLine="560" w:firstLineChars="200"/>
        <w:rPr>
          <w:rFonts w:ascii="黑体" w:eastAsia="黑体"/>
          <w:b/>
          <w:bCs/>
          <w:sz w:val="30"/>
          <w:szCs w:val="30"/>
        </w:rPr>
      </w:pPr>
      <w:r>
        <w:rPr>
          <w:rFonts w:eastAsia="黑体"/>
          <w:sz w:val="28"/>
          <w:szCs w:val="28"/>
        </w:rPr>
        <w:t>一、专业名称及代码</w:t>
      </w:r>
    </w:p>
    <w:p>
      <w:pPr>
        <w:spacing w:line="360" w:lineRule="auto"/>
        <w:ind w:firstLine="422" w:firstLineChars="200"/>
        <w:rPr>
          <w:rFonts w:ascii="宋体" w:hAnsi="宋体" w:cs="宋体"/>
          <w:szCs w:val="21"/>
        </w:rPr>
      </w:pPr>
      <w:r>
        <w:rPr>
          <w:rFonts w:hint="eastAsia" w:ascii="宋体" w:hAnsi="宋体" w:cs="宋体"/>
          <w:b/>
          <w:szCs w:val="21"/>
        </w:rPr>
        <w:t>专业名称：</w:t>
      </w:r>
      <w:r>
        <w:rPr>
          <w:rFonts w:hint="eastAsia" w:ascii="宋体" w:hAnsi="宋体" w:cs="宋体"/>
          <w:szCs w:val="21"/>
        </w:rPr>
        <w:t>中西面点工艺</w:t>
      </w:r>
    </w:p>
    <w:p>
      <w:pPr>
        <w:spacing w:line="360" w:lineRule="auto"/>
        <w:ind w:firstLine="422" w:firstLineChars="200"/>
        <w:rPr>
          <w:rFonts w:ascii="宋体" w:hAnsi="宋体"/>
          <w:szCs w:val="21"/>
        </w:rPr>
      </w:pPr>
      <w:r>
        <w:rPr>
          <w:rFonts w:hint="eastAsia" w:ascii="宋体" w:hAnsi="宋体" w:cs="宋体"/>
          <w:b/>
          <w:szCs w:val="21"/>
        </w:rPr>
        <w:t>专业代码：</w:t>
      </w:r>
      <w:r>
        <w:rPr>
          <w:rFonts w:hint="eastAsia" w:ascii="宋体" w:hAnsi="宋体" w:cs="宋体"/>
          <w:bCs/>
          <w:szCs w:val="21"/>
        </w:rPr>
        <w:t>5</w:t>
      </w:r>
      <w:r>
        <w:rPr>
          <w:rFonts w:hint="eastAsia" w:ascii="宋体" w:hAnsi="宋体" w:cs="宋体"/>
          <w:szCs w:val="21"/>
        </w:rPr>
        <w:t>40203</w:t>
      </w:r>
    </w:p>
    <w:p>
      <w:pPr>
        <w:spacing w:line="360" w:lineRule="auto"/>
        <w:ind w:firstLine="560" w:firstLineChars="200"/>
        <w:rPr>
          <w:rFonts w:ascii="黑体" w:eastAsia="黑体"/>
          <w:b/>
          <w:bCs/>
          <w:sz w:val="30"/>
          <w:szCs w:val="30"/>
        </w:rPr>
      </w:pPr>
      <w:r>
        <w:rPr>
          <w:rFonts w:hint="eastAsia" w:eastAsia="黑体"/>
          <w:sz w:val="28"/>
          <w:szCs w:val="28"/>
        </w:rPr>
        <w:t>二</w:t>
      </w:r>
      <w:r>
        <w:rPr>
          <w:rFonts w:eastAsia="黑体"/>
          <w:sz w:val="28"/>
          <w:szCs w:val="28"/>
        </w:rPr>
        <w:t>、</w:t>
      </w:r>
      <w:r>
        <w:rPr>
          <w:rFonts w:hint="eastAsia" w:eastAsia="黑体"/>
          <w:sz w:val="28"/>
          <w:szCs w:val="28"/>
        </w:rPr>
        <w:t>入学要求</w:t>
      </w:r>
    </w:p>
    <w:p>
      <w:pPr>
        <w:spacing w:line="360" w:lineRule="auto"/>
        <w:ind w:firstLine="420" w:firstLineChars="200"/>
        <w:rPr>
          <w:rFonts w:ascii="黑体" w:eastAsia="黑体"/>
          <w:b/>
          <w:bCs/>
          <w:sz w:val="30"/>
          <w:szCs w:val="30"/>
        </w:rPr>
      </w:pPr>
      <w:r>
        <w:rPr>
          <w:rFonts w:hint="eastAsia" w:ascii="宋体" w:hAnsi="宋体" w:cs="宋体"/>
          <w:szCs w:val="21"/>
        </w:rPr>
        <w:t>高中阶段教育毕业生或具有同等学力者</w:t>
      </w:r>
    </w:p>
    <w:p>
      <w:pPr>
        <w:spacing w:line="360" w:lineRule="auto"/>
        <w:ind w:firstLine="560" w:firstLineChars="200"/>
        <w:rPr>
          <w:rFonts w:eastAsia="黑体"/>
          <w:sz w:val="28"/>
          <w:szCs w:val="28"/>
        </w:rPr>
      </w:pPr>
      <w:r>
        <w:rPr>
          <w:rFonts w:hint="eastAsia" w:eastAsia="黑体"/>
          <w:sz w:val="28"/>
          <w:szCs w:val="28"/>
        </w:rPr>
        <w:t>三、修业年限</w:t>
      </w:r>
    </w:p>
    <w:p>
      <w:pPr>
        <w:spacing w:line="360" w:lineRule="auto"/>
        <w:rPr>
          <w:rFonts w:ascii="宋体" w:hAnsi="宋体" w:cs="宋体"/>
          <w:szCs w:val="21"/>
        </w:rPr>
      </w:pPr>
      <w:r>
        <w:rPr>
          <w:rFonts w:hint="eastAsia" w:ascii="宋体" w:hAnsi="宋体"/>
          <w:b/>
          <w:bCs/>
          <w:sz w:val="28"/>
          <w:szCs w:val="28"/>
        </w:rPr>
        <w:t xml:space="preserve">   </w:t>
      </w:r>
      <w:r>
        <w:rPr>
          <w:rFonts w:hint="eastAsia" w:ascii="宋体" w:hAnsi="宋体" w:cs="宋体"/>
          <w:szCs w:val="21"/>
        </w:rPr>
        <w:t>全日制三年</w:t>
      </w:r>
    </w:p>
    <w:p>
      <w:pPr>
        <w:spacing w:line="360" w:lineRule="auto"/>
        <w:ind w:firstLine="560" w:firstLineChars="200"/>
        <w:rPr>
          <w:rFonts w:eastAsia="黑体"/>
          <w:sz w:val="28"/>
          <w:szCs w:val="28"/>
        </w:rPr>
      </w:pPr>
      <w:r>
        <w:rPr>
          <w:rFonts w:hint="eastAsia" w:eastAsia="黑体"/>
          <w:sz w:val="28"/>
          <w:szCs w:val="28"/>
        </w:rPr>
        <w:t>四、</w:t>
      </w:r>
      <w:r>
        <w:rPr>
          <w:rFonts w:eastAsia="黑体"/>
          <w:sz w:val="28"/>
          <w:szCs w:val="28"/>
        </w:rPr>
        <w:t>职业面向</w:t>
      </w:r>
    </w:p>
    <w:p>
      <w:pPr>
        <w:spacing w:line="360" w:lineRule="auto"/>
        <w:ind w:firstLine="420" w:firstLineChars="200"/>
        <w:rPr>
          <w:rFonts w:ascii="宋体" w:hAnsi="宋体" w:cs="微软雅黑"/>
          <w:szCs w:val="21"/>
        </w:rPr>
      </w:pPr>
      <w:r>
        <w:rPr>
          <w:rFonts w:hint="eastAsia" w:ascii="宋体" w:hAnsi="宋体" w:cs="微软雅黑"/>
          <w:szCs w:val="21"/>
        </w:rPr>
        <w:t>中西面点工艺专业职业面向一览表如表一所示。</w:t>
      </w:r>
    </w:p>
    <w:p>
      <w:pPr>
        <w:spacing w:line="360" w:lineRule="auto"/>
        <w:jc w:val="center"/>
        <w:rPr>
          <w:rFonts w:ascii="黑体" w:eastAsia="黑体"/>
          <w:b/>
          <w:bCs/>
          <w:sz w:val="30"/>
          <w:szCs w:val="30"/>
        </w:rPr>
      </w:pPr>
      <w:r>
        <w:rPr>
          <w:rFonts w:hint="eastAsia" w:ascii="宋体" w:hAnsi="宋体" w:cs="微软雅黑"/>
          <w:szCs w:val="21"/>
        </w:rPr>
        <w:t>表一</w:t>
      </w:r>
      <w:r>
        <w:rPr>
          <w:rFonts w:ascii="宋体" w:hAnsi="宋体" w:cs="微软雅黑"/>
          <w:szCs w:val="21"/>
        </w:rPr>
        <w:t xml:space="preserve">  </w:t>
      </w:r>
      <w:r>
        <w:rPr>
          <w:rFonts w:hint="eastAsia" w:ascii="宋体" w:hAnsi="宋体" w:cs="微软雅黑"/>
          <w:szCs w:val="21"/>
        </w:rPr>
        <w:t>中西面点工艺专业职业面向一览表</w:t>
      </w:r>
    </w:p>
    <w:tbl>
      <w:tblPr>
        <w:tblStyle w:val="15"/>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276"/>
        <w:gridCol w:w="1418"/>
        <w:gridCol w:w="1544"/>
        <w:gridCol w:w="175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ascii="宋体" w:hAnsi="宋体"/>
                <w:b/>
              </w:rPr>
            </w:pPr>
            <w:r>
              <w:rPr>
                <w:rFonts w:hint="eastAsia" w:ascii="宋体" w:hAnsi="宋体"/>
                <w:b/>
              </w:rPr>
              <w:t>所属专业大类(代码)</w:t>
            </w:r>
          </w:p>
        </w:tc>
        <w:tc>
          <w:tcPr>
            <w:tcW w:w="1276" w:type="dxa"/>
            <w:vAlign w:val="center"/>
          </w:tcPr>
          <w:p>
            <w:pPr>
              <w:jc w:val="center"/>
              <w:rPr>
                <w:rFonts w:ascii="宋体" w:hAnsi="宋体"/>
                <w:b/>
              </w:rPr>
            </w:pPr>
            <w:r>
              <w:rPr>
                <w:rFonts w:hint="eastAsia" w:ascii="宋体" w:hAnsi="宋体"/>
                <w:b/>
              </w:rPr>
              <w:t>所属专业类(代码)</w:t>
            </w:r>
          </w:p>
        </w:tc>
        <w:tc>
          <w:tcPr>
            <w:tcW w:w="1418" w:type="dxa"/>
            <w:vAlign w:val="center"/>
          </w:tcPr>
          <w:p>
            <w:pPr>
              <w:jc w:val="center"/>
              <w:rPr>
                <w:rFonts w:ascii="宋体" w:hAnsi="宋体"/>
                <w:b/>
              </w:rPr>
            </w:pPr>
            <w:r>
              <w:rPr>
                <w:rFonts w:hint="eastAsia" w:ascii="宋体" w:hAnsi="宋体"/>
                <w:b/>
              </w:rPr>
              <w:t>对应行业</w:t>
            </w:r>
          </w:p>
          <w:p>
            <w:pPr>
              <w:jc w:val="center"/>
              <w:rPr>
                <w:rFonts w:ascii="宋体" w:hAnsi="宋体"/>
                <w:b/>
              </w:rPr>
            </w:pPr>
            <w:r>
              <w:rPr>
                <w:rFonts w:hint="eastAsia" w:ascii="宋体" w:hAnsi="宋体"/>
                <w:b/>
              </w:rPr>
              <w:t>(代码)</w:t>
            </w:r>
          </w:p>
        </w:tc>
        <w:tc>
          <w:tcPr>
            <w:tcW w:w="1544" w:type="dxa"/>
            <w:vAlign w:val="center"/>
          </w:tcPr>
          <w:p>
            <w:pPr>
              <w:jc w:val="center"/>
              <w:rPr>
                <w:rFonts w:ascii="宋体" w:hAnsi="宋体"/>
                <w:b/>
              </w:rPr>
            </w:pPr>
            <w:r>
              <w:rPr>
                <w:rFonts w:hint="eastAsia" w:ascii="宋体" w:hAnsi="宋体"/>
                <w:b/>
              </w:rPr>
              <w:t>主要职业类别 (代码)</w:t>
            </w:r>
          </w:p>
        </w:tc>
        <w:tc>
          <w:tcPr>
            <w:tcW w:w="1751" w:type="dxa"/>
            <w:vAlign w:val="center"/>
          </w:tcPr>
          <w:p>
            <w:pPr>
              <w:jc w:val="center"/>
              <w:rPr>
                <w:rFonts w:ascii="宋体" w:hAnsi="宋体"/>
                <w:b/>
              </w:rPr>
            </w:pPr>
            <w:r>
              <w:rPr>
                <w:rFonts w:hint="eastAsia" w:ascii="宋体" w:hAnsi="宋体"/>
                <w:b/>
              </w:rPr>
              <w:t>主要岗位类别(或技术领域)</w:t>
            </w:r>
          </w:p>
        </w:tc>
        <w:tc>
          <w:tcPr>
            <w:tcW w:w="1659" w:type="dxa"/>
            <w:vAlign w:val="center"/>
          </w:tcPr>
          <w:p>
            <w:pPr>
              <w:jc w:val="center"/>
              <w:rPr>
                <w:rFonts w:ascii="宋体" w:hAnsi="宋体"/>
                <w:b/>
              </w:rPr>
            </w:pPr>
            <w:r>
              <w:rPr>
                <w:rFonts w:hint="eastAsia" w:ascii="宋体" w:hAnsi="宋体"/>
                <w:b/>
              </w:rPr>
              <w:t>职业技能证书或技能等级证书举例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604" w:type="dxa"/>
            <w:vAlign w:val="center"/>
          </w:tcPr>
          <w:p>
            <w:pPr>
              <w:jc w:val="center"/>
              <w:rPr>
                <w:rFonts w:ascii="宋体" w:hAnsi="宋体"/>
              </w:rPr>
            </w:pPr>
            <w:r>
              <w:rPr>
                <w:rFonts w:hint="eastAsia" w:ascii="宋体" w:hAnsi="宋体"/>
              </w:rPr>
              <w:t>旅游大类（54）</w:t>
            </w:r>
          </w:p>
        </w:tc>
        <w:tc>
          <w:tcPr>
            <w:tcW w:w="1276" w:type="dxa"/>
            <w:vAlign w:val="center"/>
          </w:tcPr>
          <w:p>
            <w:pPr>
              <w:jc w:val="center"/>
              <w:rPr>
                <w:rFonts w:ascii="宋体" w:hAnsi="宋体"/>
              </w:rPr>
            </w:pPr>
            <w:r>
              <w:rPr>
                <w:rFonts w:hint="eastAsia" w:ascii="宋体" w:hAnsi="宋体"/>
              </w:rPr>
              <w:t>餐饮类（5402）</w:t>
            </w:r>
          </w:p>
        </w:tc>
        <w:tc>
          <w:tcPr>
            <w:tcW w:w="1418" w:type="dxa"/>
            <w:vAlign w:val="center"/>
          </w:tcPr>
          <w:p>
            <w:pPr>
              <w:jc w:val="center"/>
              <w:rPr>
                <w:rFonts w:ascii="宋体" w:hAnsi="宋体"/>
              </w:rPr>
            </w:pPr>
            <w:r>
              <w:rPr>
                <w:rFonts w:hint="eastAsia" w:ascii="宋体" w:hAnsi="宋体"/>
              </w:rPr>
              <w:t>餐饮业（62）</w:t>
            </w:r>
          </w:p>
        </w:tc>
        <w:tc>
          <w:tcPr>
            <w:tcW w:w="1544" w:type="dxa"/>
            <w:vAlign w:val="center"/>
          </w:tcPr>
          <w:p>
            <w:pPr>
              <w:jc w:val="center"/>
              <w:rPr>
                <w:rFonts w:ascii="宋体" w:hAnsi="宋体"/>
              </w:rPr>
            </w:pPr>
            <w:r>
              <w:rPr>
                <w:rFonts w:hint="eastAsia" w:ascii="宋体" w:hAnsi="宋体"/>
              </w:rPr>
              <w:t>住宿和餐饮服务人员（GBM 40300）</w:t>
            </w:r>
          </w:p>
        </w:tc>
        <w:tc>
          <w:tcPr>
            <w:tcW w:w="1751" w:type="dxa"/>
            <w:vAlign w:val="center"/>
          </w:tcPr>
          <w:p>
            <w:pPr>
              <w:jc w:val="center"/>
              <w:rPr>
                <w:rFonts w:ascii="宋体" w:hAnsi="宋体"/>
              </w:rPr>
            </w:pPr>
            <w:r>
              <w:rPr>
                <w:rFonts w:hint="eastAsia" w:ascii="宋体" w:hAnsi="宋体"/>
              </w:rPr>
              <w:t>住宿服务人员（GBM 40301）餐饮服务人员（GBM 40302）其他住宿和餐饮服务人员（GBM 40399）</w:t>
            </w:r>
          </w:p>
        </w:tc>
        <w:tc>
          <w:tcPr>
            <w:tcW w:w="1659" w:type="dxa"/>
            <w:vAlign w:val="center"/>
          </w:tcPr>
          <w:p>
            <w:pPr>
              <w:jc w:val="center"/>
              <w:rPr>
                <w:rFonts w:ascii="宋体" w:hAnsi="宋体"/>
              </w:rPr>
            </w:pPr>
            <w:r>
              <w:rPr>
                <w:rFonts w:hint="eastAsia" w:ascii="宋体" w:hAnsi="宋体"/>
              </w:rPr>
              <w:t xml:space="preserve"> 中式面点师（初级、中级）</w:t>
            </w:r>
          </w:p>
          <w:p>
            <w:pPr>
              <w:jc w:val="center"/>
              <w:rPr>
                <w:rFonts w:ascii="宋体" w:hAnsi="宋体"/>
              </w:rPr>
            </w:pPr>
            <w:r>
              <w:rPr>
                <w:rFonts w:hint="eastAsia" w:ascii="宋体" w:hAnsi="宋体"/>
              </w:rPr>
              <w:t xml:space="preserve">  西式面点师（初级、中级）</w:t>
            </w:r>
          </w:p>
          <w:p>
            <w:pPr>
              <w:jc w:val="center"/>
              <w:rPr>
                <w:rFonts w:ascii="宋体" w:hAnsi="宋体"/>
              </w:rPr>
            </w:pPr>
            <w:r>
              <w:rPr>
                <w:rFonts w:hint="eastAsia" w:ascii="宋体" w:hAnsi="宋体"/>
              </w:rPr>
              <w:t xml:space="preserve"> 营养配餐师（四级、三级）</w:t>
            </w:r>
          </w:p>
        </w:tc>
      </w:tr>
    </w:tbl>
    <w:p>
      <w:pPr>
        <w:spacing w:before="312" w:beforeLines="100" w:line="360" w:lineRule="auto"/>
        <w:ind w:firstLine="560" w:firstLineChars="200"/>
        <w:outlineLvl w:val="1"/>
        <w:rPr>
          <w:rFonts w:eastAsia="黑体"/>
          <w:sz w:val="28"/>
          <w:szCs w:val="28"/>
        </w:rPr>
      </w:pPr>
      <w:r>
        <w:rPr>
          <w:rFonts w:hint="eastAsia" w:eastAsia="黑体"/>
          <w:sz w:val="28"/>
          <w:szCs w:val="28"/>
        </w:rPr>
        <w:t>五</w:t>
      </w:r>
      <w:r>
        <w:rPr>
          <w:rFonts w:eastAsia="黑体"/>
          <w:sz w:val="28"/>
          <w:szCs w:val="28"/>
        </w:rPr>
        <w:t>、培养目标与</w:t>
      </w:r>
      <w:r>
        <w:rPr>
          <w:rFonts w:hint="eastAsia" w:eastAsia="黑体"/>
          <w:sz w:val="28"/>
          <w:szCs w:val="28"/>
        </w:rPr>
        <w:t>培养</w:t>
      </w:r>
      <w:r>
        <w:rPr>
          <w:rFonts w:eastAsia="黑体"/>
          <w:sz w:val="28"/>
          <w:szCs w:val="28"/>
        </w:rPr>
        <w:t>规格</w:t>
      </w:r>
    </w:p>
    <w:p>
      <w:pPr>
        <w:pStyle w:val="55"/>
        <w:rPr>
          <w:rFonts w:ascii="黑体" w:hAnsi="黑体" w:eastAsia="黑体"/>
        </w:rPr>
      </w:pPr>
      <w:r>
        <w:rPr>
          <w:rFonts w:hint="eastAsia" w:ascii="黑体" w:hAnsi="黑体" w:eastAsia="黑体"/>
        </w:rPr>
        <w:t>（一）</w:t>
      </w:r>
      <w:r>
        <w:rPr>
          <w:rFonts w:ascii="黑体" w:hAnsi="黑体" w:eastAsia="黑体"/>
        </w:rPr>
        <w:t>培养目标</w:t>
      </w:r>
    </w:p>
    <w:p>
      <w:pPr>
        <w:spacing w:line="360" w:lineRule="auto"/>
        <w:ind w:firstLine="420" w:firstLineChars="200"/>
        <w:rPr>
          <w:szCs w:val="21"/>
        </w:rPr>
      </w:pPr>
      <w:r>
        <w:rPr>
          <w:rFonts w:hint="eastAsia"/>
          <w:szCs w:val="21"/>
        </w:rPr>
        <w:t>本专业培养思想政治坚定、德技并修、德智体美劳全面发展的中国特色社会主义现代化建设者和接班人。适应现代高星级酒店发展需要，具有良好职业道德和人文素养。本专业培养的学生主要面向粤西和珠三角区域，服务于旅游餐饮业、酒店等，培养德智体美全面发展，具有良好的职业道德和敬业精神，掌握现代面点、营养、餐饮管理的基本知识，</w:t>
      </w:r>
      <w:r>
        <w:rPr>
          <w:szCs w:val="21"/>
        </w:rPr>
        <w:t>具有较强</w:t>
      </w:r>
      <w:r>
        <w:rPr>
          <w:rFonts w:hint="eastAsia"/>
          <w:szCs w:val="21"/>
        </w:rPr>
        <w:t>面点制作技术和面点创新能力</w:t>
      </w:r>
      <w:r>
        <w:rPr>
          <w:szCs w:val="21"/>
        </w:rPr>
        <w:t>，能从事</w:t>
      </w:r>
      <w:r>
        <w:rPr>
          <w:rFonts w:hint="eastAsia"/>
          <w:szCs w:val="21"/>
        </w:rPr>
        <w:t>中西面点</w:t>
      </w:r>
      <w:r>
        <w:rPr>
          <w:szCs w:val="21"/>
        </w:rPr>
        <w:t>操作、营养分析与营养配餐及餐饮业管理</w:t>
      </w:r>
      <w:r>
        <w:rPr>
          <w:rFonts w:hint="eastAsia"/>
          <w:szCs w:val="21"/>
        </w:rPr>
        <w:t>，满足宾馆、饭店等餐饮业的生产、建设、管理、服务一线需求的高素质技术技能型可持续发展人才</w:t>
      </w:r>
      <w:r>
        <w:rPr>
          <w:szCs w:val="21"/>
        </w:rPr>
        <w:t>。</w:t>
      </w:r>
    </w:p>
    <w:p>
      <w:pPr>
        <w:pStyle w:val="55"/>
        <w:rPr>
          <w:rFonts w:ascii="黑体" w:hAnsi="黑体" w:eastAsia="黑体"/>
        </w:rPr>
      </w:pPr>
      <w:r>
        <w:rPr>
          <w:rFonts w:hint="eastAsia" w:ascii="黑体" w:hAnsi="黑体" w:eastAsia="黑体"/>
        </w:rPr>
        <w:t>（二）培养规格</w:t>
      </w:r>
    </w:p>
    <w:p>
      <w:pPr>
        <w:spacing w:line="360" w:lineRule="auto"/>
        <w:ind w:firstLine="422" w:firstLineChars="200"/>
        <w:rPr>
          <w:rFonts w:ascii="宋体" w:hAnsi="宋体"/>
          <w:b/>
          <w:bCs/>
          <w:szCs w:val="21"/>
        </w:rPr>
      </w:pPr>
      <w:r>
        <w:rPr>
          <w:rFonts w:hint="eastAsia" w:ascii="宋体" w:hAnsi="宋体"/>
          <w:b/>
          <w:bCs/>
          <w:szCs w:val="21"/>
        </w:rPr>
        <w:t>1.素质要求</w:t>
      </w:r>
    </w:p>
    <w:p>
      <w:pPr>
        <w:spacing w:line="360" w:lineRule="auto"/>
        <w:ind w:firstLine="420" w:firstLineChars="200"/>
        <w:rPr>
          <w:rFonts w:ascii="宋体" w:hAnsi="宋体"/>
          <w:szCs w:val="21"/>
        </w:rPr>
      </w:pPr>
      <w:r>
        <w:rPr>
          <w:rFonts w:hint="eastAsia" w:ascii="宋体" w:hAnsi="宋体"/>
          <w:szCs w:val="21"/>
        </w:rPr>
        <w:t>具有正确的世界观、人生观、价值观。坚决拥护中国共产党领导，树立中国特色社会主义共同理想</w:t>
      </w:r>
      <w:r>
        <w:rPr>
          <w:rFonts w:ascii="宋体" w:hAnsi="宋体"/>
          <w:szCs w:val="21"/>
        </w:rPr>
        <w:t>，</w:t>
      </w:r>
      <w:r>
        <w:rPr>
          <w:rFonts w:hint="eastAsia" w:ascii="宋体" w:hAnsi="宋体"/>
          <w:szCs w:val="21"/>
        </w:rPr>
        <w:t xml:space="preserve">践行社会主义核心价值观，具有深厚的爱国情感、国家认同感、中华民族自豪感:崇尚宪法、遵守法律、遵规守纪:具有社会责任感和参与意识。 </w:t>
      </w:r>
    </w:p>
    <w:p>
      <w:pPr>
        <w:spacing w:line="360" w:lineRule="auto"/>
        <w:ind w:firstLine="420" w:firstLineChars="200"/>
        <w:rPr>
          <w:rFonts w:ascii="宋体" w:hAnsi="宋体"/>
          <w:szCs w:val="21"/>
        </w:rPr>
      </w:pPr>
      <w:r>
        <w:rPr>
          <w:rFonts w:hint="eastAsia" w:ascii="宋体" w:hAnsi="宋体"/>
          <w:szCs w:val="21"/>
        </w:rPr>
        <w:t xml:space="preserve">具有良好的职业道德和职业素养。崇德向善、诚实守信、爱岗敬业，具有精益求精的工匠精神；尊重劳动、热爱劳动，具有较强的实践能力；具有质量意识、绿色环保意识、安全意识、信息素养、创新精神；具有加强的集体意识和团队合作精神，能够进行有效的人际沟通和协作，与社会、自然和谐共处；具有职业生涯规划意识。 </w:t>
      </w:r>
    </w:p>
    <w:p>
      <w:pPr>
        <w:spacing w:line="360" w:lineRule="auto"/>
        <w:ind w:firstLine="420" w:firstLineChars="200"/>
        <w:rPr>
          <w:szCs w:val="21"/>
        </w:rPr>
      </w:pPr>
      <w:r>
        <w:rPr>
          <w:rFonts w:hint="eastAsia" w:ascii="宋体" w:hAnsi="宋体"/>
          <w:szCs w:val="21"/>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360" w:lineRule="auto"/>
        <w:ind w:firstLine="422" w:firstLineChars="200"/>
        <w:rPr>
          <w:rFonts w:ascii="宋体" w:hAnsi="宋体"/>
          <w:b/>
          <w:bCs/>
          <w:szCs w:val="21"/>
        </w:rPr>
      </w:pPr>
      <w:r>
        <w:rPr>
          <w:rFonts w:hint="eastAsia" w:ascii="宋体" w:hAnsi="宋体"/>
          <w:b/>
          <w:bCs/>
          <w:szCs w:val="21"/>
        </w:rPr>
        <w:t>2.知识要求</w:t>
      </w:r>
    </w:p>
    <w:p>
      <w:pPr>
        <w:spacing w:line="360" w:lineRule="auto"/>
        <w:ind w:firstLine="420" w:firstLineChars="200"/>
        <w:rPr>
          <w:rFonts w:ascii="宋体" w:hAnsi="宋体"/>
          <w:szCs w:val="21"/>
        </w:rPr>
      </w:pPr>
      <w:r>
        <w:rPr>
          <w:rFonts w:hint="eastAsia" w:ascii="宋体" w:hAnsi="宋体"/>
          <w:szCs w:val="21"/>
        </w:rPr>
        <w:t>具备扎实的英语、化学、计算机等基本理论知识；掌握面点工艺、烹饪营养、餐饮企业管理学科的基本理论、基本知识；掌握中西式面点制作、食品雕刻与冷拼技术。</w:t>
      </w:r>
    </w:p>
    <w:p>
      <w:pPr>
        <w:spacing w:line="360" w:lineRule="auto"/>
        <w:ind w:firstLine="422" w:firstLineChars="200"/>
        <w:rPr>
          <w:rFonts w:ascii="宋体" w:hAnsi="宋体"/>
          <w:b/>
          <w:bCs/>
          <w:szCs w:val="21"/>
        </w:rPr>
      </w:pPr>
      <w:r>
        <w:rPr>
          <w:rFonts w:hint="eastAsia" w:ascii="宋体" w:hAnsi="宋体"/>
          <w:b/>
          <w:bCs/>
          <w:szCs w:val="21"/>
        </w:rPr>
        <w:t>3.能力要求</w:t>
      </w:r>
    </w:p>
    <w:p>
      <w:pPr>
        <w:spacing w:line="360" w:lineRule="auto"/>
        <w:ind w:firstLine="420" w:firstLineChars="200"/>
        <w:rPr>
          <w:rFonts w:ascii="宋体" w:hAnsi="宋体"/>
          <w:szCs w:val="21"/>
        </w:rPr>
      </w:pPr>
      <w:r>
        <w:rPr>
          <w:rFonts w:hint="eastAsia" w:ascii="宋体" w:hAnsi="宋体"/>
          <w:szCs w:val="21"/>
        </w:rPr>
        <w:t>能按面点制作要求，完成相关面点作品制作，且对中西面点各岗位具有组织、协调和控制能力。具有一定的创新能力和创业能力，能将知识、技能、态度转化为职业所需的能力。了解国内外面点的理论前沿、应用前景及发展动态；熟悉中西面点饮食文化、了解中西面点相关制作工艺、熟悉食品制作法规。</w:t>
      </w:r>
    </w:p>
    <w:p>
      <w:pPr>
        <w:spacing w:line="360" w:lineRule="auto"/>
        <w:ind w:firstLine="560" w:firstLineChars="200"/>
        <w:outlineLvl w:val="1"/>
        <w:rPr>
          <w:rFonts w:eastAsia="黑体"/>
          <w:sz w:val="28"/>
          <w:szCs w:val="28"/>
        </w:rPr>
      </w:pPr>
      <w:r>
        <w:rPr>
          <w:rFonts w:hint="eastAsia" w:eastAsia="黑体"/>
          <w:sz w:val="28"/>
          <w:szCs w:val="28"/>
        </w:rPr>
        <w:t>六</w:t>
      </w:r>
      <w:r>
        <w:rPr>
          <w:rFonts w:eastAsia="黑体"/>
          <w:sz w:val="28"/>
          <w:szCs w:val="28"/>
        </w:rPr>
        <w:t>、课程</w:t>
      </w:r>
      <w:r>
        <w:rPr>
          <w:rFonts w:hint="eastAsia" w:eastAsia="黑体"/>
          <w:sz w:val="28"/>
          <w:szCs w:val="28"/>
        </w:rPr>
        <w:t>设置及要求</w:t>
      </w:r>
    </w:p>
    <w:p>
      <w:pPr>
        <w:spacing w:line="360" w:lineRule="auto"/>
        <w:ind w:firstLine="480" w:firstLineChars="200"/>
        <w:rPr>
          <w:rFonts w:ascii="黑体" w:hAnsi="黑体" w:eastAsia="黑体" w:cs="黑体"/>
          <w:bCs/>
          <w:sz w:val="24"/>
        </w:rPr>
      </w:pPr>
      <w:r>
        <w:rPr>
          <w:rFonts w:hint="eastAsia" w:ascii="黑体" w:hAnsi="黑体" w:eastAsia="黑体" w:cs="黑体"/>
          <w:bCs/>
          <w:sz w:val="24"/>
        </w:rPr>
        <w:t xml:space="preserve">（一）课程体系 </w:t>
      </w:r>
    </w:p>
    <w:p>
      <w:pPr>
        <w:adjustRightInd w:val="0"/>
        <w:spacing w:line="360" w:lineRule="auto"/>
        <w:ind w:firstLine="420" w:firstLineChars="200"/>
        <w:outlineLvl w:val="2"/>
        <w:rPr>
          <w:rFonts w:ascii="黑体" w:hAnsi="黑体" w:eastAsia="黑体"/>
          <w:sz w:val="24"/>
        </w:rPr>
      </w:pPr>
      <w:r>
        <w:rPr>
          <w:rFonts w:hint="eastAsia" w:ascii="宋体" w:hAnsi="宋体" w:cs="微软雅黑"/>
          <w:szCs w:val="21"/>
        </w:rPr>
        <w:t>本专业以职业能力为主线，构建了工学结合、学做一体、个性培养的课程体系，该体系分为公共课、专业核心课、其他专业课、实训实习课、公共选修课以及专业选修课等模块。公共基础课主要安排在第一、二学期完成，主要是使学生了解社会，提高学生人文科学素养，培养学生的社会能力，为进一步学习专业课程打好基础。部分公共基础课贯穿人才培养全过程，如劳动教育、创新创业教育。专业核心课程主要安排在第三、四学期，是形成学生职业素养和职业能力的最重要课程；其他专业课则是对专业核心课的有益辅助和补充，帮助学生更好地进行专业学习；实训实习课中的毕业设计（论文）安排在第五学期和第六期，顶岗实习安排在六学期，是专业理论知识和专业技能在实际工作的综合运用，也是专业教育在校外的延续，以提高学生的社会能力和职业工作能力，以及运用专业知识技能解决实际问题的能力。选修课主要安排专业外的拓展课程，以拓宽学生的知识面和提高学生人文科学素养。</w:t>
      </w:r>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（二）公共基础课程</w:t>
      </w:r>
    </w:p>
    <w:p>
      <w:pPr>
        <w:spacing w:line="360" w:lineRule="auto"/>
        <w:ind w:firstLine="420" w:firstLineChars="200"/>
        <w:rPr>
          <w:rFonts w:ascii="宋体" w:hAnsi="宋体" w:cs="微软雅黑"/>
          <w:szCs w:val="21"/>
        </w:rPr>
      </w:pPr>
      <w:r>
        <w:rPr>
          <w:rFonts w:hint="eastAsia" w:ascii="宋体" w:hAnsi="宋体" w:cs="微软雅黑"/>
          <w:szCs w:val="21"/>
        </w:rPr>
        <w:t>公共基础课程教学内容及要求如表二所示。</w:t>
      </w:r>
    </w:p>
    <w:p>
      <w:pPr>
        <w:spacing w:line="360" w:lineRule="auto"/>
        <w:jc w:val="center"/>
        <w:rPr>
          <w:rFonts w:hint="eastAsia" w:ascii="宋体" w:hAnsi="宋体" w:cs="微软雅黑"/>
          <w:szCs w:val="21"/>
        </w:rPr>
      </w:pPr>
    </w:p>
    <w:p>
      <w:pPr>
        <w:spacing w:line="360" w:lineRule="auto"/>
        <w:jc w:val="center"/>
        <w:rPr>
          <w:rFonts w:hint="eastAsia" w:ascii="宋体" w:hAnsi="宋体" w:cs="微软雅黑"/>
          <w:szCs w:val="21"/>
        </w:rPr>
      </w:pPr>
    </w:p>
    <w:p>
      <w:pPr>
        <w:spacing w:line="360" w:lineRule="auto"/>
        <w:jc w:val="center"/>
        <w:rPr>
          <w:rFonts w:hint="eastAsia" w:ascii="宋体" w:hAnsi="宋体" w:cs="微软雅黑"/>
          <w:szCs w:val="21"/>
        </w:rPr>
      </w:pPr>
      <w:r>
        <w:rPr>
          <w:rFonts w:hint="eastAsia" w:ascii="宋体" w:hAnsi="宋体" w:cs="微软雅黑"/>
          <w:szCs w:val="21"/>
        </w:rPr>
        <w:t>表二</w:t>
      </w:r>
      <w:r>
        <w:rPr>
          <w:rFonts w:ascii="宋体" w:hAnsi="宋体" w:cs="微软雅黑"/>
          <w:szCs w:val="21"/>
        </w:rPr>
        <w:t xml:space="preserve">  </w:t>
      </w:r>
      <w:r>
        <w:rPr>
          <w:rFonts w:hint="eastAsia" w:ascii="宋体" w:hAnsi="宋体" w:cs="微软雅黑"/>
          <w:szCs w:val="21"/>
        </w:rPr>
        <w:t>公共基础课程教学内容及要求</w:t>
      </w:r>
    </w:p>
    <w:p>
      <w:pPr>
        <w:spacing w:line="360" w:lineRule="auto"/>
        <w:jc w:val="center"/>
        <w:rPr>
          <w:rFonts w:hint="eastAsia" w:ascii="宋体" w:hAnsi="宋体" w:cs="微软雅黑"/>
          <w:szCs w:val="21"/>
        </w:rPr>
      </w:pPr>
    </w:p>
    <w:tbl>
      <w:tblPr>
        <w:tblStyle w:val="15"/>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01" w:type="dxa"/>
            <w:vAlign w:val="center"/>
          </w:tcPr>
          <w:p>
            <w:pPr>
              <w:jc w:val="center"/>
              <w:rPr>
                <w:rFonts w:ascii="宋体" w:hAnsi="宋体" w:cs="微软雅黑"/>
                <w:szCs w:val="21"/>
              </w:rPr>
            </w:pPr>
            <w:r>
              <w:rPr>
                <w:rFonts w:hint="eastAsia" w:ascii="宋体" w:hAnsi="宋体" w:cs="微软雅黑"/>
                <w:szCs w:val="21"/>
              </w:rPr>
              <w:t>序号</w:t>
            </w:r>
          </w:p>
        </w:tc>
        <w:tc>
          <w:tcPr>
            <w:tcW w:w="1280" w:type="dxa"/>
            <w:vAlign w:val="center"/>
          </w:tcPr>
          <w:p>
            <w:pPr>
              <w:jc w:val="center"/>
              <w:rPr>
                <w:rFonts w:ascii="宋体" w:hAnsi="宋体" w:cs="微软雅黑"/>
                <w:szCs w:val="21"/>
              </w:rPr>
            </w:pPr>
            <w:r>
              <w:rPr>
                <w:rFonts w:hint="eastAsia" w:ascii="宋体" w:hAnsi="宋体" w:cs="微软雅黑"/>
                <w:szCs w:val="21"/>
              </w:rPr>
              <w:t>课程名称</w:t>
            </w:r>
          </w:p>
        </w:tc>
        <w:tc>
          <w:tcPr>
            <w:tcW w:w="7018" w:type="dxa"/>
            <w:vAlign w:val="center"/>
          </w:tcPr>
          <w:p>
            <w:pPr>
              <w:jc w:val="center"/>
              <w:rPr>
                <w:rFonts w:ascii="宋体" w:hAnsi="宋体" w:cs="微软雅黑"/>
                <w:szCs w:val="21"/>
              </w:rPr>
            </w:pPr>
            <w:r>
              <w:rPr>
                <w:rFonts w:hint="eastAsia" w:ascii="宋体" w:hAnsi="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w:t>
            </w:r>
          </w:p>
        </w:tc>
        <w:tc>
          <w:tcPr>
            <w:tcW w:w="1280" w:type="dxa"/>
            <w:vAlign w:val="center"/>
          </w:tcPr>
          <w:p>
            <w:pPr>
              <w:widowControl/>
              <w:jc w:val="center"/>
              <w:rPr>
                <w:rFonts w:ascii="宋体" w:hAnsi="宋体" w:cs="微软雅黑"/>
                <w:szCs w:val="21"/>
              </w:rPr>
            </w:pPr>
            <w:r>
              <w:rPr>
                <w:rFonts w:hint="eastAsia" w:ascii="宋体" w:hAnsi="宋体" w:cs="宋体"/>
                <w:kern w:val="0"/>
                <w:szCs w:val="21"/>
              </w:rPr>
              <w:t>军事理论</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rPr>
              <w:t>通过本课程教学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2</w:t>
            </w:r>
          </w:p>
        </w:tc>
        <w:tc>
          <w:tcPr>
            <w:tcW w:w="1280" w:type="dxa"/>
            <w:vAlign w:val="center"/>
          </w:tcPr>
          <w:p>
            <w:pPr>
              <w:widowControl/>
              <w:jc w:val="center"/>
              <w:rPr>
                <w:rFonts w:ascii="宋体" w:hAnsi="宋体" w:cs="宋体"/>
                <w:kern w:val="0"/>
                <w:szCs w:val="21"/>
              </w:rPr>
            </w:pPr>
            <w:r>
              <w:rPr>
                <w:rFonts w:hint="eastAsia" w:ascii="宋体" w:hAnsi="宋体" w:cs="宋体"/>
                <w:kern w:val="0"/>
                <w:szCs w:val="21"/>
              </w:rPr>
              <w:t>军事技能</w:t>
            </w:r>
          </w:p>
        </w:tc>
        <w:tc>
          <w:tcPr>
            <w:tcW w:w="7018" w:type="dxa"/>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本课程通过共同条例教育，分队的队列动作等，掌握基本的军事技能，培养良好的军人素质和作风。增强组织性和纪律性，培养吃苦耐劳和顽强拼搏的精神，促进校纪校风和校园精神文明建设。同时使增强国防观念、国家安全意识和忧患危机意识，弘扬爱国主义精神、传承红色基因、提高学生综合国防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3</w:t>
            </w:r>
          </w:p>
        </w:tc>
        <w:tc>
          <w:tcPr>
            <w:tcW w:w="1280" w:type="dxa"/>
            <w:vAlign w:val="center"/>
          </w:tcPr>
          <w:p>
            <w:pPr>
              <w:widowControl/>
              <w:jc w:val="center"/>
              <w:rPr>
                <w:rFonts w:ascii="宋体" w:hAnsi="宋体" w:cs="宋体"/>
                <w:kern w:val="0"/>
                <w:szCs w:val="21"/>
              </w:rPr>
            </w:pPr>
            <w:r>
              <w:rPr>
                <w:rFonts w:hint="eastAsia" w:ascii="宋体" w:hAnsi="宋体" w:cs="宋体"/>
                <w:kern w:val="0"/>
                <w:szCs w:val="21"/>
              </w:rPr>
              <w:t>毛泽东思想和中国特色社会主义理论体系概论</w:t>
            </w:r>
          </w:p>
        </w:tc>
        <w:tc>
          <w:tcPr>
            <w:tcW w:w="7018" w:type="dxa"/>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本课程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4</w:t>
            </w:r>
          </w:p>
        </w:tc>
        <w:tc>
          <w:tcPr>
            <w:tcW w:w="1280" w:type="dxa"/>
            <w:vAlign w:val="center"/>
          </w:tcPr>
          <w:p>
            <w:pPr>
              <w:widowControl/>
              <w:jc w:val="center"/>
              <w:rPr>
                <w:rFonts w:ascii="宋体" w:hAnsi="宋体" w:cs="微软雅黑"/>
                <w:szCs w:val="21"/>
              </w:rPr>
            </w:pPr>
            <w:r>
              <w:rPr>
                <w:rFonts w:hint="eastAsia" w:ascii="宋体" w:hAnsi="宋体" w:cs="宋体"/>
                <w:kern w:val="0"/>
                <w:szCs w:val="21"/>
              </w:rPr>
              <w:t>思想道德修养与法律基础</w:t>
            </w:r>
          </w:p>
        </w:tc>
        <w:tc>
          <w:tcPr>
            <w:tcW w:w="7018" w:type="dxa"/>
            <w:vAlign w:val="center"/>
          </w:tcPr>
          <w:p>
            <w:pPr>
              <w:widowControl/>
              <w:ind w:firstLine="420" w:firstLineChars="200"/>
              <w:rPr>
                <w:rFonts w:ascii="宋体" w:hAnsi="宋体" w:cs="微软雅黑"/>
                <w:szCs w:val="21"/>
              </w:rPr>
            </w:pPr>
            <w:r>
              <w:rPr>
                <w:rFonts w:hint="eastAsia" w:ascii="宋体" w:hAnsi="宋体" w:cs="宋体"/>
                <w:kern w:val="0"/>
                <w:szCs w:val="21"/>
              </w:rPr>
              <w:t xml:space="preserve">本课程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5</w:t>
            </w:r>
          </w:p>
        </w:tc>
        <w:tc>
          <w:tcPr>
            <w:tcW w:w="1280" w:type="dxa"/>
            <w:vAlign w:val="center"/>
          </w:tcPr>
          <w:p>
            <w:pPr>
              <w:widowControl/>
              <w:jc w:val="center"/>
              <w:rPr>
                <w:rFonts w:ascii="宋体" w:hAnsi="宋体" w:cs="宋体"/>
                <w:kern w:val="0"/>
                <w:szCs w:val="21"/>
              </w:rPr>
            </w:pPr>
            <w:r>
              <w:rPr>
                <w:rFonts w:hint="eastAsia" w:ascii="宋体" w:hAnsi="宋体" w:cs="宋体"/>
                <w:kern w:val="0"/>
                <w:szCs w:val="21"/>
              </w:rPr>
              <w:t>形势与政策</w:t>
            </w:r>
          </w:p>
        </w:tc>
        <w:tc>
          <w:tcPr>
            <w:tcW w:w="7018" w:type="dxa"/>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通过本课程的教学，使学生了解国内外的重大时事，全面认识和正确理解党的基本路线、重大方针和政策，认清形势和任务，掌握时代的脉搏，激发爱国主义精神，增强民主自信心和社会责任感，珍惜和维护国家稳定的大局，为建设有中国特色的社会主义而奋发学习、健康成长。课程内容紧密结合国内外形势，紧密结合学生的思想实际，通过适时地进行形势政策、世界政治经济与国际关系基本知识的教育，帮助学生开阔视野，及时了解和正确对待国内外重大时事，使学生在改革开放的环境下有坚定的立场、有较强的分析能力和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6</w:t>
            </w:r>
          </w:p>
        </w:tc>
        <w:tc>
          <w:tcPr>
            <w:tcW w:w="1280" w:type="dxa"/>
            <w:vAlign w:val="center"/>
          </w:tcPr>
          <w:p>
            <w:pPr>
              <w:widowControl/>
              <w:jc w:val="center"/>
              <w:rPr>
                <w:rFonts w:ascii="宋体" w:hAnsi="宋体" w:cs="宋体"/>
                <w:kern w:val="0"/>
                <w:szCs w:val="21"/>
              </w:rPr>
            </w:pPr>
            <w:r>
              <w:rPr>
                <w:rFonts w:hint="eastAsia" w:ascii="宋体" w:hAnsi="宋体" w:cs="宋体"/>
                <w:kern w:val="0"/>
                <w:szCs w:val="21"/>
              </w:rPr>
              <w:t>英语</w:t>
            </w:r>
          </w:p>
        </w:tc>
        <w:tc>
          <w:tcPr>
            <w:tcW w:w="7018" w:type="dxa"/>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 xml:space="preserve">本课程以培养学生实际应用英语的能力为目标，侧重职场环境中英语实际能力的培养，使学生逐步提高用英语进行交流和沟通的能力。同时，使学生掌握有效的学习方法和策略，培养学生的学习兴趣和自主学习能力，提高学生的综合文化素养和跨文化交际意识，为提升学生的就业竞争力及未来的可持续发展打下必要的基础。掌握 3500 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7</w:t>
            </w:r>
          </w:p>
        </w:tc>
        <w:tc>
          <w:tcPr>
            <w:tcW w:w="1280" w:type="dxa"/>
            <w:vAlign w:val="center"/>
          </w:tcPr>
          <w:p>
            <w:pPr>
              <w:widowControl/>
              <w:jc w:val="center"/>
              <w:rPr>
                <w:rFonts w:ascii="宋体" w:hAnsi="宋体" w:cs="微软雅黑"/>
                <w:szCs w:val="21"/>
              </w:rPr>
            </w:pPr>
            <w:r>
              <w:rPr>
                <w:rFonts w:hint="eastAsia" w:ascii="宋体" w:hAnsi="宋体" w:cs="宋体"/>
                <w:kern w:val="0"/>
                <w:szCs w:val="21"/>
              </w:rPr>
              <w:t>体育</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rPr>
              <w:t>本课程中身体素质锻炼贯穿始终，学生通过该课程学习，在运动参与、运动技能、身体健康、心理健康和社会适应五个学习领域中有所提高，掌握科学锻炼的基本知识、技术，培养其锻炼的兴趣和习惯，以充分发挥学生的主体能动性，为终身体育打下基础。通过课程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8</w:t>
            </w:r>
          </w:p>
        </w:tc>
        <w:tc>
          <w:tcPr>
            <w:tcW w:w="1280" w:type="dxa"/>
            <w:vAlign w:val="center"/>
          </w:tcPr>
          <w:p>
            <w:pPr>
              <w:widowControl/>
              <w:jc w:val="center"/>
              <w:rPr>
                <w:rFonts w:ascii="宋体" w:hAnsi="宋体" w:cs="微软雅黑"/>
                <w:szCs w:val="21"/>
              </w:rPr>
            </w:pPr>
            <w:r>
              <w:rPr>
                <w:rFonts w:hint="eastAsia" w:ascii="宋体" w:hAnsi="宋体" w:cs="宋体"/>
                <w:kern w:val="0"/>
                <w:szCs w:val="21"/>
              </w:rPr>
              <w:t>体育测试</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微软雅黑"/>
                <w:szCs w:val="21"/>
              </w:rPr>
              <w:t>通过对学生身高、体重、肺活量、坐立体前屈、立定跳远、50米、1分钟仰卧起坐（女）、引体向上（男）、800米跑（女）、1000米跑（男）等的测试，对学生体质状况和体育锻炼效果进行评价，以指导学生科学开展体育活动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9</w:t>
            </w:r>
          </w:p>
        </w:tc>
        <w:tc>
          <w:tcPr>
            <w:tcW w:w="1280" w:type="dxa"/>
            <w:vAlign w:val="center"/>
          </w:tcPr>
          <w:p>
            <w:pPr>
              <w:widowControl/>
              <w:jc w:val="center"/>
              <w:rPr>
                <w:rFonts w:ascii="宋体" w:hAnsi="宋体" w:cs="微软雅黑"/>
                <w:szCs w:val="21"/>
              </w:rPr>
            </w:pPr>
            <w:r>
              <w:rPr>
                <w:rFonts w:hint="eastAsia" w:ascii="宋体" w:hAnsi="宋体" w:cs="宋体"/>
                <w:kern w:val="0"/>
                <w:szCs w:val="21"/>
              </w:rPr>
              <w:t>信息技术</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10</w:t>
            </w:r>
          </w:p>
        </w:tc>
        <w:tc>
          <w:tcPr>
            <w:tcW w:w="1280" w:type="dxa"/>
            <w:vAlign w:val="center"/>
          </w:tcPr>
          <w:p>
            <w:pPr>
              <w:spacing w:line="360" w:lineRule="auto"/>
              <w:jc w:val="center"/>
              <w:rPr>
                <w:rFonts w:ascii="宋体" w:hAnsi="宋体" w:cs="微软雅黑"/>
                <w:szCs w:val="21"/>
              </w:rPr>
            </w:pPr>
            <w:r>
              <w:rPr>
                <w:rFonts w:hint="eastAsia" w:ascii="宋体" w:hAnsi="宋体" w:cs="微软雅黑"/>
                <w:szCs w:val="21"/>
              </w:rPr>
              <w:t>大学语文</w:t>
            </w:r>
          </w:p>
        </w:tc>
        <w:tc>
          <w:tcPr>
            <w:tcW w:w="7018" w:type="dxa"/>
            <w:vAlign w:val="center"/>
          </w:tcPr>
          <w:p>
            <w:pPr>
              <w:widowControl/>
              <w:ind w:firstLine="420" w:firstLineChars="200"/>
              <w:jc w:val="left"/>
              <w:rPr>
                <w:rFonts w:ascii="宋体" w:hAnsi="宋体" w:cs="宋体"/>
                <w:kern w:val="0"/>
                <w:sz w:val="24"/>
              </w:rPr>
            </w:pPr>
            <w:r>
              <w:rPr>
                <w:rFonts w:hint="eastAsia" w:ascii="宋体" w:hAnsi="宋体" w:cs="宋体"/>
                <w:kern w:val="0"/>
                <w:szCs w:val="21"/>
              </w:rPr>
              <w:t>通过本课程教学提高和强化学生对本民族语言文字的理解能力和运用水平。帮助学生继续积累本国语文的有关知识，继续培养他们阅读分析能力和文字表达能力，打好扎实的语文根底。通过阅读理解文学作品提高学生的思维品质和审美悟性。教育、引导学生阅读理解优秀的文学作品，帮助他们突破思维定势，激发创造精神，学会形象思维与逻辑思维，从而建构起开放灵活的思维方式。同时，在教学的过程中，帮助学生辨别真善美与假恶丑，培养丰富的想象和联想能力，提高审美悟性，形成健康高雅的审美心理和情趣。以中国文学所体现的人文精神及优秀传统熏陶学生。要把传授知识与陶冶情操结合起来，发掘优秀文学作品所蕴涵的内在思想教育、情感熏陶因素，帮助学生树立正确的世界观、人生观和价值观，增强爱国主义精神和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11</w:t>
            </w:r>
          </w:p>
        </w:tc>
        <w:tc>
          <w:tcPr>
            <w:tcW w:w="1280" w:type="dxa"/>
            <w:vAlign w:val="center"/>
          </w:tcPr>
          <w:p>
            <w:pPr>
              <w:widowControl/>
              <w:jc w:val="center"/>
              <w:rPr>
                <w:rFonts w:ascii="宋体" w:hAnsi="宋体" w:cs="微软雅黑"/>
                <w:szCs w:val="21"/>
              </w:rPr>
            </w:pPr>
            <w:r>
              <w:rPr>
                <w:rFonts w:hint="eastAsia" w:ascii="宋体" w:hAnsi="宋体" w:cs="宋体"/>
                <w:kern w:val="0"/>
                <w:szCs w:val="21"/>
              </w:rPr>
              <w:t>大学生心理健康</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rPr>
              <w:t>本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12</w:t>
            </w:r>
          </w:p>
        </w:tc>
        <w:tc>
          <w:tcPr>
            <w:tcW w:w="1280" w:type="dxa"/>
            <w:vAlign w:val="center"/>
          </w:tcPr>
          <w:p>
            <w:pPr>
              <w:spacing w:line="360" w:lineRule="auto"/>
              <w:jc w:val="center"/>
              <w:rPr>
                <w:rFonts w:ascii="宋体" w:hAnsi="宋体" w:cs="微软雅黑"/>
                <w:szCs w:val="21"/>
              </w:rPr>
            </w:pPr>
            <w:r>
              <w:rPr>
                <w:rFonts w:hint="eastAsia" w:ascii="宋体" w:hAnsi="宋体" w:cs="微软雅黑"/>
                <w:szCs w:val="21"/>
              </w:rPr>
              <w:t>大学生职业发展和就业指导</w:t>
            </w:r>
          </w:p>
        </w:tc>
        <w:tc>
          <w:tcPr>
            <w:tcW w:w="7018" w:type="dxa"/>
            <w:vAlign w:val="center"/>
          </w:tcPr>
          <w:p>
            <w:pPr>
              <w:widowControl/>
              <w:ind w:firstLine="420" w:firstLineChars="200"/>
              <w:jc w:val="left"/>
              <w:rPr>
                <w:rFonts w:ascii="宋体" w:hAnsi="宋体" w:cs="宋体"/>
                <w:kern w:val="0"/>
                <w:sz w:val="24"/>
              </w:rPr>
            </w:pPr>
            <w:r>
              <w:rPr>
                <w:rFonts w:hint="eastAsia" w:ascii="宋体" w:hAnsi="宋体" w:cs="宋体"/>
                <w:kern w:val="0"/>
                <w:szCs w:val="21"/>
              </w:rPr>
              <w:t>本课程是公共必修课程，既强调职业在人生发展中的重要地位，又关注学生的全面发展和终身发展。通过激发学生职业生涯发展的自主意识，树立科学的就业观、创业观，促使大学生理性地规划自身未来的发展，并努力在学习过程中自觉地提高就业能力和创新能力。通过本课程的教学，培养大学生职业生涯发展的自主意识，教育引导学生树立积极正确的人生观、价值观和就业观，自觉把个人发展和国家需要、社会发展相结合，为个人生涯发展和社会发展不懈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13</w:t>
            </w:r>
          </w:p>
        </w:tc>
        <w:tc>
          <w:tcPr>
            <w:tcW w:w="1280" w:type="dxa"/>
            <w:vAlign w:val="center"/>
          </w:tcPr>
          <w:p>
            <w:pPr>
              <w:widowControl/>
              <w:jc w:val="center"/>
              <w:rPr>
                <w:rFonts w:ascii="宋体" w:hAnsi="宋体" w:cs="微软雅黑"/>
                <w:szCs w:val="21"/>
              </w:rPr>
            </w:pPr>
            <w:r>
              <w:rPr>
                <w:rFonts w:hint="eastAsia" w:ascii="宋体" w:hAnsi="宋体" w:cs="宋体"/>
                <w:kern w:val="0"/>
                <w:szCs w:val="21"/>
              </w:rPr>
              <w:t>大学生创新创业指导</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rPr>
              <w:t xml:space="preserve">本课程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有利于引导高职学生理性规划个人职业生涯发展，帮助高职学生了解社会需要及认识自身优势，促进学生职业素质发展，激发创业精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14</w:t>
            </w:r>
          </w:p>
        </w:tc>
        <w:tc>
          <w:tcPr>
            <w:tcW w:w="1280" w:type="dxa"/>
            <w:vAlign w:val="center"/>
          </w:tcPr>
          <w:p>
            <w:pPr>
              <w:spacing w:line="360" w:lineRule="auto"/>
              <w:jc w:val="center"/>
              <w:rPr>
                <w:rFonts w:ascii="宋体" w:hAnsi="宋体" w:cs="宋体"/>
                <w:kern w:val="0"/>
                <w:szCs w:val="21"/>
              </w:rPr>
            </w:pPr>
            <w:r>
              <w:rPr>
                <w:rFonts w:hint="eastAsia" w:ascii="宋体" w:hAnsi="宋体" w:cs="宋体"/>
                <w:kern w:val="0"/>
                <w:szCs w:val="21"/>
              </w:rPr>
              <w:t>国家安全教育</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微软雅黑"/>
                <w:szCs w:val="21"/>
              </w:rPr>
              <w:t>通过本课程教学并结合专题教育，使学生能够深入理解和准确把握总体国家安全观，牢固树立国家利益至上的观念，增强自觉维护国家安全意识，具备维护国家安全的能力。并要求学生系统掌握总体国家安全观的内涵和精神实质，理解中国特色国家安全体系，树立国家安全底线思维，将国家安全意识转化为自觉行动，强化责任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15</w:t>
            </w:r>
          </w:p>
        </w:tc>
        <w:tc>
          <w:tcPr>
            <w:tcW w:w="1280" w:type="dxa"/>
            <w:vAlign w:val="center"/>
          </w:tcPr>
          <w:p>
            <w:pPr>
              <w:spacing w:line="360" w:lineRule="auto"/>
              <w:jc w:val="center"/>
              <w:rPr>
                <w:rFonts w:ascii="宋体" w:hAnsi="宋体" w:cs="微软雅黑"/>
                <w:szCs w:val="21"/>
              </w:rPr>
            </w:pPr>
            <w:r>
              <w:rPr>
                <w:rFonts w:ascii="宋体" w:hAnsi="宋体" w:cs="微软雅黑"/>
                <w:szCs w:val="21"/>
              </w:rPr>
              <w:t>劳动专题教育</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微软雅黑"/>
                <w:szCs w:val="21"/>
              </w:rPr>
              <w:t>通过劳动精神专题教育、劳模精神专题教育以及工匠精神专题教育等，使学生能够理解和形成马克思主义劳动观，牢固树立劳动最光荣、劳动最崇高、劳动最伟大、劳动最美丽的观念，促使学生养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16</w:t>
            </w:r>
          </w:p>
        </w:tc>
        <w:tc>
          <w:tcPr>
            <w:tcW w:w="1280" w:type="dxa"/>
            <w:vAlign w:val="center"/>
          </w:tcPr>
          <w:p>
            <w:pPr>
              <w:spacing w:line="360" w:lineRule="auto"/>
              <w:jc w:val="center"/>
              <w:rPr>
                <w:rFonts w:ascii="宋体" w:hAnsi="宋体" w:cs="微软雅黑"/>
                <w:szCs w:val="21"/>
              </w:rPr>
            </w:pPr>
            <w:r>
              <w:rPr>
                <w:rFonts w:hint="eastAsia" w:ascii="宋体" w:hAnsi="宋体" w:cs="微软雅黑"/>
                <w:szCs w:val="21"/>
              </w:rPr>
              <w:t>劳动</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微软雅黑"/>
                <w:szCs w:val="21"/>
              </w:rPr>
              <w:t>本课程将劳动分为校内劳动实践和校外劳动实践两个部分。其中校内劳动实践包括：实训室、课室、卫生间、楼道、周边草坪及指定区域的清洁；校外劳动实践包括：寒暑假社会实践、志愿者活动及其他有益于身心发展的劳动实践。学生通过劳动实践，体会劳动创造美好生活，认可劳动不分贵贱，培养勤俭、奋斗、创新、奉献的劳动精神，形成良好的劳动习惯，具备满足生存发展需要的基本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cs="微软雅黑"/>
                <w:szCs w:val="21"/>
              </w:rPr>
            </w:pPr>
            <w:r>
              <w:rPr>
                <w:rFonts w:hint="eastAsia" w:ascii="宋体" w:hAnsi="宋体" w:cs="微软雅黑"/>
                <w:szCs w:val="21"/>
              </w:rPr>
              <w:t>17</w:t>
            </w:r>
          </w:p>
        </w:tc>
        <w:tc>
          <w:tcPr>
            <w:tcW w:w="1280" w:type="dxa"/>
            <w:vAlign w:val="center"/>
          </w:tcPr>
          <w:p>
            <w:pPr>
              <w:spacing w:line="360" w:lineRule="auto"/>
              <w:jc w:val="center"/>
              <w:rPr>
                <w:b/>
                <w:bCs/>
                <w:color w:val="FF0000"/>
                <w:kern w:val="0"/>
                <w:szCs w:val="21"/>
              </w:rPr>
            </w:pPr>
            <w:r>
              <w:rPr>
                <w:rFonts w:hint="eastAsia" w:ascii="宋体" w:hAnsi="宋体" w:cs="微软雅黑"/>
                <w:szCs w:val="21"/>
              </w:rPr>
              <w:t>习近平新时代中国特色社会主义思想概论</w:t>
            </w:r>
          </w:p>
        </w:tc>
        <w:tc>
          <w:tcPr>
            <w:tcW w:w="7018" w:type="dxa"/>
            <w:vAlign w:val="center"/>
          </w:tcPr>
          <w:p>
            <w:pPr>
              <w:widowControl/>
              <w:ind w:firstLine="420" w:firstLineChars="200"/>
              <w:jc w:val="left"/>
              <w:rPr>
                <w:rFonts w:ascii="宋体" w:hAnsi="宋体" w:cs="微软雅黑"/>
                <w:szCs w:val="21"/>
              </w:rPr>
            </w:pPr>
            <w:r>
              <w:rPr>
                <w:rFonts w:hint="eastAsia" w:ascii="宋体" w:hAnsi="宋体" w:cs="宋体"/>
                <w:kern w:val="0"/>
                <w:szCs w:val="21"/>
                <w:lang w:bidi="ar"/>
              </w:rPr>
              <w:t>通过本课程的学习，学生能够全面、准确地理解习近平新时代中国特色社会主义思想创立的时代背景，掌握习近平新时代中国特色社会主义思想的科学理论体系，包括“五新”：一是新时代，二是新矛盾，三是新思想（理论主题、核心要义、核心内容），四是新征程，五是新建设（五位一体、党的建设），从而认识习近平新时代中国特色社会主义思想的历史地位和重大意义，增强学生对习近平新时代中国特色社会主义思想的政治认同、思想认同和情感认同，坚定走中国特色社会主义道路的决心和信心。</w:t>
            </w:r>
          </w:p>
        </w:tc>
      </w:tr>
    </w:tbl>
    <w:p>
      <w:pPr>
        <w:spacing w:line="360" w:lineRule="auto"/>
        <w:jc w:val="center"/>
        <w:rPr>
          <w:rFonts w:ascii="宋体" w:hAnsi="宋体" w:cs="微软雅黑"/>
          <w:szCs w:val="21"/>
        </w:rPr>
      </w:pPr>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（三）专业（技能）课程</w:t>
      </w:r>
    </w:p>
    <w:p>
      <w:pPr>
        <w:spacing w:line="360" w:lineRule="auto"/>
        <w:ind w:firstLine="422" w:firstLineChars="200"/>
        <w:rPr>
          <w:rFonts w:ascii="宋体" w:hAnsi="宋体" w:cs="微软雅黑"/>
          <w:b/>
          <w:bCs/>
          <w:szCs w:val="21"/>
        </w:rPr>
      </w:pPr>
      <w:r>
        <w:rPr>
          <w:rFonts w:hint="eastAsia" w:ascii="宋体" w:hAnsi="宋体" w:cs="微软雅黑"/>
          <w:b/>
          <w:bCs/>
          <w:szCs w:val="21"/>
        </w:rPr>
        <w:t>1.专业核心课程</w:t>
      </w:r>
    </w:p>
    <w:p>
      <w:pPr>
        <w:spacing w:line="360" w:lineRule="auto"/>
        <w:ind w:firstLine="420" w:firstLineChars="200"/>
        <w:rPr>
          <w:rFonts w:ascii="宋体" w:hAnsi="宋体" w:cs="微软雅黑"/>
          <w:szCs w:val="21"/>
        </w:rPr>
      </w:pPr>
      <w:r>
        <w:rPr>
          <w:rFonts w:hint="eastAsia" w:ascii="宋体" w:hAnsi="宋体" w:cs="微软雅黑"/>
          <w:szCs w:val="21"/>
        </w:rPr>
        <w:t>中西面点工艺专业核心课程教学内容及要求如表三所示。</w:t>
      </w:r>
    </w:p>
    <w:p>
      <w:pPr>
        <w:spacing w:line="360" w:lineRule="auto"/>
        <w:jc w:val="center"/>
        <w:rPr>
          <w:rFonts w:hint="eastAsia" w:ascii="宋体" w:hAnsi="宋体" w:cs="微软雅黑"/>
          <w:szCs w:val="21"/>
        </w:rPr>
      </w:pPr>
      <w:r>
        <w:rPr>
          <w:rFonts w:hint="eastAsia" w:ascii="宋体" w:hAnsi="宋体" w:cs="微软雅黑"/>
          <w:szCs w:val="21"/>
        </w:rPr>
        <w:t>表三</w:t>
      </w:r>
      <w:r>
        <w:rPr>
          <w:rFonts w:ascii="宋体" w:hAnsi="宋体" w:cs="微软雅黑"/>
          <w:szCs w:val="21"/>
        </w:rPr>
        <w:t xml:space="preserve"> </w:t>
      </w:r>
      <w:r>
        <w:rPr>
          <w:rFonts w:hint="eastAsia" w:ascii="宋体" w:hAnsi="宋体" w:cs="微软雅黑"/>
          <w:szCs w:val="21"/>
        </w:rPr>
        <w:t>中西面点工艺专业核心课程教学内容及要求</w:t>
      </w:r>
    </w:p>
    <w:p>
      <w:pPr>
        <w:spacing w:line="360" w:lineRule="auto"/>
        <w:jc w:val="center"/>
        <w:rPr>
          <w:rFonts w:hint="eastAsia" w:ascii="宋体" w:hAnsi="宋体" w:cs="微软雅黑"/>
          <w:szCs w:val="21"/>
        </w:rPr>
      </w:pPr>
    </w:p>
    <w:tbl>
      <w:tblPr>
        <w:tblStyle w:val="1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01" w:type="dxa"/>
            <w:vAlign w:val="center"/>
          </w:tcPr>
          <w:p>
            <w:pPr>
              <w:jc w:val="center"/>
              <w:rPr>
                <w:rFonts w:ascii="宋体" w:hAnsi="宋体" w:cs="微软雅黑"/>
                <w:szCs w:val="21"/>
              </w:rPr>
            </w:pPr>
            <w:r>
              <w:rPr>
                <w:rFonts w:hint="eastAsia" w:ascii="宋体" w:hAnsi="宋体" w:cs="微软雅黑"/>
                <w:szCs w:val="21"/>
              </w:rPr>
              <w:t>序号</w:t>
            </w:r>
          </w:p>
        </w:tc>
        <w:tc>
          <w:tcPr>
            <w:tcW w:w="1280" w:type="dxa"/>
            <w:vAlign w:val="center"/>
          </w:tcPr>
          <w:p>
            <w:pPr>
              <w:jc w:val="center"/>
              <w:rPr>
                <w:rFonts w:ascii="宋体" w:hAnsi="宋体" w:cs="微软雅黑"/>
                <w:szCs w:val="21"/>
              </w:rPr>
            </w:pPr>
            <w:r>
              <w:rPr>
                <w:rFonts w:hint="eastAsia" w:ascii="宋体" w:hAnsi="宋体" w:cs="微软雅黑"/>
                <w:szCs w:val="21"/>
              </w:rPr>
              <w:t>课程名称</w:t>
            </w:r>
          </w:p>
        </w:tc>
        <w:tc>
          <w:tcPr>
            <w:tcW w:w="6853" w:type="dxa"/>
            <w:vAlign w:val="center"/>
          </w:tcPr>
          <w:p>
            <w:pPr>
              <w:jc w:val="center"/>
              <w:rPr>
                <w:rFonts w:ascii="宋体" w:hAnsi="宋体" w:cs="微软雅黑"/>
                <w:szCs w:val="21"/>
              </w:rPr>
            </w:pPr>
            <w:r>
              <w:rPr>
                <w:rFonts w:hint="eastAsia" w:ascii="宋体" w:hAnsi="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1</w:t>
            </w:r>
          </w:p>
        </w:tc>
        <w:tc>
          <w:tcPr>
            <w:tcW w:w="1280" w:type="dxa"/>
            <w:vAlign w:val="center"/>
          </w:tcPr>
          <w:p>
            <w:pPr>
              <w:jc w:val="center"/>
              <w:rPr>
                <w:rFonts w:ascii="宋体" w:hAnsi="宋体" w:cs="微软雅黑"/>
                <w:szCs w:val="21"/>
              </w:rPr>
            </w:pPr>
            <w:r>
              <w:rPr>
                <w:rFonts w:hint="eastAsia" w:ascii="宋体" w:hAnsi="宋体" w:cs="微软雅黑"/>
                <w:szCs w:val="21"/>
              </w:rPr>
              <w:t>烹饪原料学</w:t>
            </w:r>
          </w:p>
        </w:tc>
        <w:tc>
          <w:tcPr>
            <w:tcW w:w="6853" w:type="dxa"/>
            <w:vAlign w:val="center"/>
          </w:tcPr>
          <w:p>
            <w:pPr>
              <w:ind w:firstLine="420" w:firstLineChars="200"/>
              <w:jc w:val="left"/>
              <w:rPr>
                <w:rFonts w:ascii="宋体" w:hAnsi="宋体" w:cs="微软雅黑"/>
                <w:szCs w:val="21"/>
              </w:rPr>
            </w:pPr>
            <w:r>
              <w:rPr>
                <w:rFonts w:hint="eastAsia" w:ascii="宋体" w:hAnsi="宋体" w:cs="微软雅黑"/>
                <w:szCs w:val="21"/>
              </w:rPr>
              <w:t>本课程紧紧围绕高星级酒店高技能人才应该具备的实践能力和职业技能，对烹饪原料的全面了解和系统学习，培养学生科学思维方式和综合运用知识能力，通过学习，使学生提高识别、选购原料和根据原料特点进行实践操作基本能力，为后期整个面点制作的学习和掌握有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2</w:t>
            </w:r>
          </w:p>
        </w:tc>
        <w:tc>
          <w:tcPr>
            <w:tcW w:w="1280" w:type="dxa"/>
            <w:vAlign w:val="center"/>
          </w:tcPr>
          <w:p>
            <w:pPr>
              <w:jc w:val="center"/>
              <w:rPr>
                <w:rFonts w:ascii="宋体" w:hAnsi="宋体" w:cs="微软雅黑"/>
                <w:szCs w:val="21"/>
              </w:rPr>
            </w:pPr>
            <w:r>
              <w:rPr>
                <w:rFonts w:hint="eastAsia" w:ascii="宋体" w:hAnsi="宋体" w:cs="微软雅黑"/>
                <w:szCs w:val="21"/>
              </w:rPr>
              <w:t>烹饪营养学</w:t>
            </w:r>
          </w:p>
        </w:tc>
        <w:tc>
          <w:tcPr>
            <w:tcW w:w="6853" w:type="dxa"/>
            <w:vAlign w:val="center"/>
          </w:tcPr>
          <w:p>
            <w:pPr>
              <w:ind w:firstLine="420" w:firstLineChars="200"/>
              <w:jc w:val="left"/>
              <w:rPr>
                <w:rFonts w:ascii="宋体" w:hAnsi="宋体" w:cs="微软雅黑"/>
                <w:szCs w:val="21"/>
              </w:rPr>
            </w:pPr>
            <w:r>
              <w:rPr>
                <w:rFonts w:hint="eastAsia" w:ascii="宋体" w:hAnsi="宋体" w:cs="宋体"/>
                <w:kern w:val="0"/>
                <w:szCs w:val="21"/>
              </w:rPr>
              <w:t>本课程主要培养学生正确处理烹饪和餐饮中的食品营养问题，强调认知的过程从方法和原理方面来学习，掌握营养学的基础知识和原理，合理烹调、平衡膳食的知识和技能，了解营养科学在餐饮业中应用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3</w:t>
            </w:r>
          </w:p>
        </w:tc>
        <w:tc>
          <w:tcPr>
            <w:tcW w:w="1280" w:type="dxa"/>
            <w:vAlign w:val="center"/>
          </w:tcPr>
          <w:p>
            <w:pPr>
              <w:tabs>
                <w:tab w:val="left" w:pos="276"/>
              </w:tabs>
              <w:jc w:val="left"/>
              <w:rPr>
                <w:rFonts w:ascii="宋体" w:hAnsi="宋体" w:cs="微软雅黑"/>
                <w:szCs w:val="21"/>
              </w:rPr>
            </w:pPr>
            <w:r>
              <w:rPr>
                <w:rFonts w:hint="eastAsia" w:ascii="宋体" w:hAnsi="宋体" w:cs="微软雅黑"/>
                <w:szCs w:val="21"/>
              </w:rPr>
              <w:t>中医饮食保健学</w:t>
            </w:r>
          </w:p>
        </w:tc>
        <w:tc>
          <w:tcPr>
            <w:tcW w:w="6853" w:type="dxa"/>
            <w:vAlign w:val="center"/>
          </w:tcPr>
          <w:p>
            <w:pPr>
              <w:ind w:firstLine="420" w:firstLineChars="200"/>
              <w:jc w:val="left"/>
              <w:rPr>
                <w:rFonts w:ascii="宋体" w:hAnsi="宋体" w:cs="微软雅黑"/>
                <w:szCs w:val="21"/>
              </w:rPr>
            </w:pPr>
            <w:r>
              <w:rPr>
                <w:rFonts w:hint="eastAsia" w:ascii="宋体" w:hAnsi="宋体" w:cs="微软雅黑"/>
                <w:szCs w:val="21"/>
              </w:rPr>
              <w:t>本课程对中医饮食保健学的全面了解和系统学习，培养学生科学思维方式和综合运用知识能力，通过对食物性能、食物的应用、各类保健食物及常用食疗药膳中药材、食养与食疗的基本法则、正常人的饮食养生及常见病的饮食治疗等知识的学习，有助于学生获得广泛的烹饪相关理论方面的知识，辩证地认识到中医饮食保健学在学习中的指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4</w:t>
            </w:r>
          </w:p>
        </w:tc>
        <w:tc>
          <w:tcPr>
            <w:tcW w:w="1280" w:type="dxa"/>
            <w:vAlign w:val="center"/>
          </w:tcPr>
          <w:p>
            <w:pPr>
              <w:widowControl/>
              <w:textAlignment w:val="center"/>
              <w:rPr>
                <w:rFonts w:ascii="宋体" w:hAnsi="宋体" w:cs="宋体"/>
                <w:kern w:val="0"/>
                <w:szCs w:val="21"/>
              </w:rPr>
            </w:pPr>
            <w:r>
              <w:rPr>
                <w:rFonts w:hint="eastAsia" w:ascii="宋体" w:hAnsi="宋体" w:cs="宋体"/>
                <w:kern w:val="0"/>
                <w:szCs w:val="21"/>
              </w:rPr>
              <w:t>西式面点工艺</w:t>
            </w:r>
          </w:p>
        </w:tc>
        <w:tc>
          <w:tcPr>
            <w:tcW w:w="6853" w:type="dxa"/>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本课程是烹饪专业最重要的课程之一，通过本课程的理论学习与实践技能培养，使学生了解西式面点的发展概况和趋势，了解西式面点制作中常用设备与工具，使学生掌握西式面点制作的基本手法。培养学生分析问题、解决问题的能力，为从事烹饪美食的生产、研究及创新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5</w:t>
            </w:r>
          </w:p>
        </w:tc>
        <w:tc>
          <w:tcPr>
            <w:tcW w:w="1280" w:type="dxa"/>
            <w:vAlign w:val="center"/>
          </w:tcPr>
          <w:p>
            <w:pPr>
              <w:widowControl/>
              <w:textAlignment w:val="top"/>
              <w:rPr>
                <w:rFonts w:ascii="宋体" w:hAnsi="宋体" w:cs="微软雅黑"/>
                <w:szCs w:val="21"/>
              </w:rPr>
            </w:pPr>
            <w:r>
              <w:rPr>
                <w:rFonts w:hint="eastAsia" w:ascii="宋体" w:hAnsi="宋体" w:cs="宋体"/>
                <w:kern w:val="0"/>
                <w:szCs w:val="21"/>
              </w:rPr>
              <w:t>中式面点工艺学</w:t>
            </w:r>
          </w:p>
        </w:tc>
        <w:tc>
          <w:tcPr>
            <w:tcW w:w="6853" w:type="dxa"/>
            <w:vAlign w:val="center"/>
          </w:tcPr>
          <w:p>
            <w:pPr>
              <w:ind w:firstLine="420" w:firstLineChars="200"/>
              <w:jc w:val="left"/>
              <w:rPr>
                <w:rFonts w:ascii="宋体" w:hAnsi="宋体" w:cs="微软雅黑"/>
                <w:szCs w:val="21"/>
              </w:rPr>
            </w:pPr>
            <w:r>
              <w:rPr>
                <w:rFonts w:hint="eastAsia" w:ascii="宋体" w:hAnsi="宋体" w:cs="宋体"/>
                <w:kern w:val="0"/>
                <w:szCs w:val="21"/>
              </w:rPr>
              <w:t>本课程是烹饪工艺与营养专业核心课，具有较强的系统性、针对性和实用性。通过对本课程的学习，使学生不仅能掌握面点原料、面团调制、制馅、成形和熟制等一系列面点基础理论知识，还能使他们熟练地掌握其制作工艺过程，并能运用所学到的知识，解决实际工作中的问题，为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6</w:t>
            </w:r>
          </w:p>
        </w:tc>
        <w:tc>
          <w:tcPr>
            <w:tcW w:w="1280" w:type="dxa"/>
            <w:vAlign w:val="center"/>
          </w:tcPr>
          <w:p>
            <w:pPr>
              <w:widowControl/>
              <w:textAlignment w:val="center"/>
              <w:rPr>
                <w:rFonts w:ascii="宋体" w:hAnsi="宋体" w:cs="微软雅黑"/>
                <w:szCs w:val="21"/>
              </w:rPr>
            </w:pPr>
            <w:r>
              <w:rPr>
                <w:rFonts w:hint="eastAsia" w:ascii="宋体" w:hAnsi="宋体" w:cs="宋体"/>
                <w:kern w:val="0"/>
                <w:szCs w:val="21"/>
              </w:rPr>
              <w:t>西点烘焙工艺与制作</w:t>
            </w:r>
          </w:p>
        </w:tc>
        <w:tc>
          <w:tcPr>
            <w:tcW w:w="6853" w:type="dxa"/>
            <w:vAlign w:val="center"/>
          </w:tcPr>
          <w:p>
            <w:pPr>
              <w:ind w:firstLine="420" w:firstLineChars="200"/>
              <w:jc w:val="left"/>
              <w:rPr>
                <w:rFonts w:ascii="宋体" w:hAnsi="宋体" w:cs="微软雅黑"/>
                <w:szCs w:val="21"/>
              </w:rPr>
            </w:pPr>
            <w:r>
              <w:rPr>
                <w:rFonts w:hint="eastAsia" w:ascii="宋体" w:hAnsi="宋体" w:cs="微软雅黑"/>
                <w:szCs w:val="21"/>
              </w:rPr>
              <w:t>本课程是烹饪工艺与营养专业的实训核心课程，课程通过讲授有关西点烘焙理论知识，西点烘焙制作技艺和训练基本西点烘焙的操作技能等，使学生熟练掌握西点不同品种的操作技法，为学生继续提高职业技能和适应职业转化奠定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7</w:t>
            </w:r>
          </w:p>
        </w:tc>
        <w:tc>
          <w:tcPr>
            <w:tcW w:w="1280" w:type="dxa"/>
            <w:vAlign w:val="center"/>
          </w:tcPr>
          <w:p>
            <w:pPr>
              <w:widowControl/>
              <w:textAlignment w:val="center"/>
              <w:rPr>
                <w:rFonts w:ascii="宋体" w:hAnsi="宋体" w:cs="宋体"/>
                <w:kern w:val="0"/>
                <w:szCs w:val="21"/>
              </w:rPr>
            </w:pPr>
            <w:r>
              <w:rPr>
                <w:rFonts w:hint="eastAsia" w:ascii="宋体" w:hAnsi="宋体" w:cs="宋体"/>
                <w:kern w:val="0"/>
                <w:szCs w:val="21"/>
              </w:rPr>
              <w:t>中式面点制作</w:t>
            </w:r>
          </w:p>
        </w:tc>
        <w:tc>
          <w:tcPr>
            <w:tcW w:w="6853" w:type="dxa"/>
            <w:vAlign w:val="center"/>
          </w:tcPr>
          <w:p>
            <w:pPr>
              <w:ind w:firstLine="420" w:firstLineChars="200"/>
              <w:jc w:val="left"/>
              <w:rPr>
                <w:rFonts w:ascii="宋体" w:hAnsi="宋体" w:cs="微软雅黑"/>
                <w:szCs w:val="21"/>
              </w:rPr>
            </w:pPr>
            <w:r>
              <w:rPr>
                <w:rFonts w:hint="eastAsia" w:ascii="宋体" w:hAnsi="宋体" w:cs="微软雅黑"/>
                <w:szCs w:val="21"/>
              </w:rPr>
              <w:t>本课程是烹饪工艺与营养专业的岗位核心能力课程，其目的是让学生了解和掌握面点工艺的基础理论和基础知识，系统学习面点制作的工艺流程，掌握各类面点制作的核心技能，从而使学生达到岗位职责所必备的基本职业能力，满足职业行业岗位的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8</w:t>
            </w:r>
          </w:p>
        </w:tc>
        <w:tc>
          <w:tcPr>
            <w:tcW w:w="1280" w:type="dxa"/>
            <w:vAlign w:val="center"/>
          </w:tcPr>
          <w:p>
            <w:pPr>
              <w:widowControl/>
              <w:textAlignment w:val="center"/>
              <w:rPr>
                <w:rFonts w:ascii="宋体" w:hAnsi="宋体" w:cs="宋体"/>
                <w:kern w:val="0"/>
                <w:szCs w:val="21"/>
              </w:rPr>
            </w:pPr>
            <w:r>
              <w:rPr>
                <w:rFonts w:hint="eastAsia" w:ascii="宋体" w:hAnsi="宋体" w:cs="宋体"/>
                <w:kern w:val="0"/>
                <w:szCs w:val="21"/>
              </w:rPr>
              <w:t>粤式点心制作</w:t>
            </w:r>
          </w:p>
        </w:tc>
        <w:tc>
          <w:tcPr>
            <w:tcW w:w="6853" w:type="dxa"/>
            <w:vAlign w:val="center"/>
          </w:tcPr>
          <w:p>
            <w:pPr>
              <w:ind w:firstLine="420" w:firstLineChars="200"/>
              <w:jc w:val="left"/>
              <w:rPr>
                <w:rFonts w:ascii="宋体" w:hAnsi="宋体" w:cs="微软雅黑"/>
                <w:szCs w:val="21"/>
              </w:rPr>
            </w:pPr>
            <w:r>
              <w:rPr>
                <w:rFonts w:hint="eastAsia" w:ascii="宋体" w:hAnsi="宋体" w:cs="微软雅黑"/>
                <w:szCs w:val="21"/>
              </w:rPr>
              <w:t>本课程是烹饪工艺与营养专业的岗位核心能力课程，其目的是让学生了解和掌握粤式面点工艺的制作方法和理论知识，系统学习粤式点心的制作工艺，掌握各类粤式面点制作的核心技术，从而使学生满足岗位所要求的专业技能，具备岗位所需的职业素质。</w:t>
            </w:r>
          </w:p>
        </w:tc>
      </w:tr>
    </w:tbl>
    <w:p>
      <w:pPr>
        <w:spacing w:line="360" w:lineRule="auto"/>
        <w:ind w:firstLine="422" w:firstLineChars="200"/>
        <w:rPr>
          <w:rFonts w:ascii="宋体" w:hAnsi="宋体" w:cs="微软雅黑"/>
          <w:b/>
          <w:bCs/>
          <w:szCs w:val="21"/>
        </w:rPr>
      </w:pPr>
    </w:p>
    <w:p>
      <w:pPr>
        <w:spacing w:line="360" w:lineRule="auto"/>
        <w:ind w:firstLine="422" w:firstLineChars="200"/>
        <w:rPr>
          <w:rFonts w:ascii="宋体" w:hAnsi="宋体" w:cs="微软雅黑"/>
          <w:b/>
          <w:bCs/>
          <w:szCs w:val="21"/>
        </w:rPr>
      </w:pPr>
      <w:r>
        <w:rPr>
          <w:rFonts w:hint="eastAsia" w:ascii="宋体" w:hAnsi="宋体" w:cs="微软雅黑"/>
          <w:b/>
          <w:bCs/>
          <w:szCs w:val="21"/>
        </w:rPr>
        <w:t>2.其它专业课</w:t>
      </w:r>
    </w:p>
    <w:p>
      <w:pPr>
        <w:spacing w:line="360" w:lineRule="auto"/>
        <w:ind w:firstLine="420" w:firstLineChars="200"/>
        <w:rPr>
          <w:rFonts w:ascii="宋体" w:hAnsi="宋体" w:cs="微软雅黑"/>
          <w:szCs w:val="21"/>
        </w:rPr>
      </w:pPr>
      <w:r>
        <w:rPr>
          <w:rFonts w:hint="eastAsia" w:ascii="宋体" w:hAnsi="宋体" w:cs="微软雅黑"/>
          <w:szCs w:val="21"/>
        </w:rPr>
        <w:t>中西面点工艺专业其它专业课程教学内容及要求如表四所示。</w:t>
      </w:r>
    </w:p>
    <w:p>
      <w:pPr>
        <w:spacing w:line="360" w:lineRule="auto"/>
        <w:jc w:val="center"/>
        <w:rPr>
          <w:rFonts w:ascii="宋体" w:hAnsi="宋体" w:cs="微软雅黑"/>
          <w:szCs w:val="21"/>
        </w:rPr>
      </w:pPr>
      <w:r>
        <w:rPr>
          <w:rFonts w:hint="eastAsia" w:ascii="宋体" w:hAnsi="宋体" w:cs="微软雅黑"/>
          <w:szCs w:val="21"/>
        </w:rPr>
        <w:t>表四</w:t>
      </w:r>
      <w:r>
        <w:rPr>
          <w:rFonts w:ascii="宋体" w:hAnsi="宋体" w:cs="微软雅黑"/>
          <w:szCs w:val="21"/>
        </w:rPr>
        <w:t xml:space="preserve"> </w:t>
      </w:r>
      <w:r>
        <w:rPr>
          <w:rFonts w:hint="eastAsia" w:ascii="宋体" w:hAnsi="宋体" w:cs="微软雅黑"/>
          <w:szCs w:val="21"/>
        </w:rPr>
        <w:t>中西面点工艺专业其它专业课程教学内容及要求</w:t>
      </w:r>
    </w:p>
    <w:tbl>
      <w:tblPr>
        <w:tblStyle w:val="15"/>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01" w:type="dxa"/>
            <w:vAlign w:val="center"/>
          </w:tcPr>
          <w:p>
            <w:pPr>
              <w:jc w:val="center"/>
              <w:rPr>
                <w:rFonts w:ascii="宋体" w:hAnsi="宋体" w:cs="微软雅黑"/>
                <w:szCs w:val="21"/>
              </w:rPr>
            </w:pPr>
            <w:r>
              <w:rPr>
                <w:rFonts w:hint="eastAsia" w:ascii="宋体" w:hAnsi="宋体" w:cs="微软雅黑"/>
                <w:szCs w:val="21"/>
              </w:rPr>
              <w:t>序号</w:t>
            </w:r>
          </w:p>
        </w:tc>
        <w:tc>
          <w:tcPr>
            <w:tcW w:w="1280" w:type="dxa"/>
            <w:vAlign w:val="center"/>
          </w:tcPr>
          <w:p>
            <w:pPr>
              <w:jc w:val="center"/>
              <w:rPr>
                <w:rFonts w:ascii="宋体" w:hAnsi="宋体" w:cs="微软雅黑"/>
                <w:szCs w:val="21"/>
              </w:rPr>
            </w:pPr>
            <w:r>
              <w:rPr>
                <w:rFonts w:hint="eastAsia" w:ascii="宋体" w:hAnsi="宋体" w:cs="微软雅黑"/>
                <w:szCs w:val="21"/>
              </w:rPr>
              <w:t>课程名称</w:t>
            </w:r>
          </w:p>
        </w:tc>
        <w:tc>
          <w:tcPr>
            <w:tcW w:w="6838" w:type="dxa"/>
            <w:vAlign w:val="center"/>
          </w:tcPr>
          <w:p>
            <w:pPr>
              <w:jc w:val="center"/>
              <w:rPr>
                <w:rFonts w:ascii="宋体" w:hAnsi="宋体" w:cs="微软雅黑"/>
                <w:szCs w:val="21"/>
              </w:rPr>
            </w:pPr>
            <w:r>
              <w:rPr>
                <w:rFonts w:hint="eastAsia" w:ascii="宋体" w:hAnsi="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1</w:t>
            </w:r>
          </w:p>
        </w:tc>
        <w:tc>
          <w:tcPr>
            <w:tcW w:w="1280" w:type="dxa"/>
            <w:vAlign w:val="center"/>
          </w:tcPr>
          <w:p>
            <w:pPr>
              <w:widowControl/>
              <w:textAlignment w:val="top"/>
              <w:rPr>
                <w:rFonts w:ascii="宋体" w:hAnsi="宋体" w:cs="微软雅黑"/>
                <w:szCs w:val="21"/>
              </w:rPr>
            </w:pPr>
            <w:r>
              <w:rPr>
                <w:rFonts w:hint="eastAsia" w:ascii="宋体" w:hAnsi="宋体" w:cs="宋体"/>
                <w:kern w:val="0"/>
                <w:szCs w:val="21"/>
              </w:rPr>
              <w:t>中西烹饪概论</w:t>
            </w:r>
          </w:p>
        </w:tc>
        <w:tc>
          <w:tcPr>
            <w:tcW w:w="6838" w:type="dxa"/>
            <w:vAlign w:val="center"/>
          </w:tcPr>
          <w:p>
            <w:pPr>
              <w:ind w:firstLine="420" w:firstLineChars="200"/>
              <w:jc w:val="left"/>
              <w:rPr>
                <w:rFonts w:ascii="宋体" w:hAnsi="宋体" w:cs="微软雅黑"/>
                <w:szCs w:val="21"/>
              </w:rPr>
            </w:pPr>
            <w:r>
              <w:rPr>
                <w:rFonts w:hint="eastAsia" w:ascii="宋体" w:hAnsi="宋体" w:cs="微软雅黑"/>
                <w:szCs w:val="21"/>
              </w:rPr>
              <w:t>本课程通过对中西烹饪的发展史、烹饪饮食文化、烹饪工艺和烹饪当代的饮食市场等知识进行系统的学习，培养学生了解中国烹饪文学为主线，要求学生通过对中西烹饪史、烹饪饮食文化、烹饪艺术成果等方面的了解，掌握中西烹饪理论研究的视角，提高中西烹饪理论知识的学习，有利于今后在理论研究和操作技能上的发展和提高，以便适应中国和世界面点潮流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2</w:t>
            </w:r>
          </w:p>
        </w:tc>
        <w:tc>
          <w:tcPr>
            <w:tcW w:w="1280" w:type="dxa"/>
            <w:vAlign w:val="center"/>
          </w:tcPr>
          <w:p>
            <w:pPr>
              <w:widowControl/>
              <w:textAlignment w:val="top"/>
              <w:rPr>
                <w:rFonts w:ascii="宋体" w:hAnsi="宋体" w:cs="微软雅黑"/>
                <w:szCs w:val="21"/>
              </w:rPr>
            </w:pPr>
            <w:r>
              <w:rPr>
                <w:rFonts w:hint="eastAsia" w:ascii="宋体" w:hAnsi="宋体" w:cs="宋体"/>
                <w:kern w:val="0"/>
                <w:szCs w:val="21"/>
              </w:rPr>
              <w:t>烹饪卫生与安全学</w:t>
            </w:r>
          </w:p>
        </w:tc>
        <w:tc>
          <w:tcPr>
            <w:tcW w:w="6838" w:type="dxa"/>
            <w:vAlign w:val="center"/>
          </w:tcPr>
          <w:p>
            <w:pPr>
              <w:ind w:firstLine="420" w:firstLineChars="200"/>
              <w:jc w:val="left"/>
              <w:rPr>
                <w:rFonts w:ascii="宋体" w:hAnsi="宋体" w:cs="微软雅黑"/>
                <w:szCs w:val="21"/>
              </w:rPr>
            </w:pPr>
            <w:r>
              <w:rPr>
                <w:rFonts w:hint="eastAsia" w:ascii="宋体" w:hAnsi="宋体" w:cs="宋体"/>
                <w:kern w:val="0"/>
                <w:szCs w:val="21"/>
              </w:rPr>
              <w:t>烹饪卫生与安全学需要以烹饪化学、烹饪原料学、烹饪营养学、食品微生物学的基础知识为指导，要求学生了解卫生与人体健康及烹饪的关系，掌握以上课程的基础知识并具有较熟练的操作能力，掌握食源性疾病、食品腐败变质、烹饪原料卫生、烹饪加工工艺卫生及卫生管理等方面的基本理论及实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jc w:val="center"/>
              <w:rPr>
                <w:rFonts w:ascii="宋体" w:hAnsi="宋体" w:cs="微软雅黑"/>
                <w:szCs w:val="21"/>
              </w:rPr>
            </w:pPr>
            <w:r>
              <w:rPr>
                <w:rFonts w:hint="eastAsia" w:ascii="宋体" w:hAnsi="宋体" w:cs="微软雅黑"/>
                <w:szCs w:val="21"/>
              </w:rPr>
              <w:t>3</w:t>
            </w:r>
          </w:p>
        </w:tc>
        <w:tc>
          <w:tcPr>
            <w:tcW w:w="1280" w:type="dxa"/>
            <w:vAlign w:val="center"/>
          </w:tcPr>
          <w:p>
            <w:pPr>
              <w:widowControl/>
              <w:textAlignment w:val="top"/>
              <w:rPr>
                <w:rFonts w:ascii="宋体" w:hAnsi="宋体" w:cs="微软雅黑"/>
                <w:szCs w:val="21"/>
              </w:rPr>
            </w:pPr>
            <w:r>
              <w:rPr>
                <w:rFonts w:hint="eastAsia" w:ascii="宋体" w:hAnsi="宋体" w:cs="宋体"/>
                <w:kern w:val="0"/>
                <w:szCs w:val="21"/>
              </w:rPr>
              <w:t>烹饪营养与配餐</w:t>
            </w:r>
          </w:p>
        </w:tc>
        <w:tc>
          <w:tcPr>
            <w:tcW w:w="6838" w:type="dxa"/>
            <w:vAlign w:val="center"/>
          </w:tcPr>
          <w:p>
            <w:pPr>
              <w:ind w:firstLine="420" w:firstLineChars="200"/>
              <w:jc w:val="left"/>
              <w:rPr>
                <w:rFonts w:ascii="宋体" w:hAnsi="宋体" w:cs="微软雅黑"/>
                <w:szCs w:val="21"/>
              </w:rPr>
            </w:pPr>
            <w:r>
              <w:rPr>
                <w:rFonts w:hint="eastAsia" w:ascii="宋体" w:hAnsi="宋体" w:cs="微软雅黑"/>
                <w:szCs w:val="21"/>
              </w:rPr>
              <w:t>本课程紧紧围绕餐饮与酒店行业人才应该具备的实践能力和职业技能，对烹饪营养与配餐进行系统学习，培养学生的营养配餐的基础知识，和营养配餐能力。通过学习，使学生掌握食谱的计算与编制，营养调查与评价，食物的营养价值知识等相关知识，提高学生的专业技能。</w:t>
            </w:r>
          </w:p>
        </w:tc>
      </w:tr>
    </w:tbl>
    <w:p>
      <w:pPr>
        <w:spacing w:line="360" w:lineRule="auto"/>
        <w:jc w:val="center"/>
        <w:rPr>
          <w:rFonts w:ascii="宋体" w:hAnsi="宋体" w:cs="微软雅黑"/>
          <w:szCs w:val="21"/>
        </w:rPr>
      </w:pPr>
    </w:p>
    <w:p>
      <w:pPr>
        <w:spacing w:line="360" w:lineRule="auto"/>
        <w:ind w:firstLine="422" w:firstLineChars="200"/>
        <w:rPr>
          <w:rFonts w:ascii="宋体" w:hAnsi="宋体" w:cs="微软雅黑"/>
          <w:b/>
          <w:bCs/>
          <w:szCs w:val="21"/>
        </w:rPr>
      </w:pPr>
      <w:r>
        <w:rPr>
          <w:rFonts w:hint="eastAsia" w:ascii="宋体" w:hAnsi="宋体" w:cs="微软雅黑"/>
          <w:b/>
          <w:bCs/>
          <w:szCs w:val="21"/>
        </w:rPr>
        <w:t>3.实训实习课程</w:t>
      </w:r>
    </w:p>
    <w:p>
      <w:pPr>
        <w:spacing w:line="360" w:lineRule="auto"/>
        <w:ind w:firstLine="420" w:firstLineChars="200"/>
        <w:rPr>
          <w:rFonts w:ascii="宋体" w:hAnsi="宋体" w:cs="微软雅黑"/>
          <w:szCs w:val="21"/>
        </w:rPr>
      </w:pPr>
      <w:r>
        <w:rPr>
          <w:rFonts w:hint="eastAsia" w:ascii="宋体" w:hAnsi="宋体" w:cs="微软雅黑"/>
          <w:szCs w:val="21"/>
        </w:rPr>
        <w:t>中西面点工艺专业实训实习课程教学内容及要求如表五所示。</w:t>
      </w:r>
    </w:p>
    <w:p>
      <w:pPr>
        <w:spacing w:line="360" w:lineRule="auto"/>
        <w:jc w:val="center"/>
        <w:rPr>
          <w:rFonts w:ascii="宋体" w:hAnsi="宋体" w:cs="微软雅黑"/>
          <w:szCs w:val="21"/>
        </w:rPr>
      </w:pPr>
      <w:r>
        <w:rPr>
          <w:rFonts w:hint="eastAsia" w:ascii="宋体" w:hAnsi="宋体" w:cs="微软雅黑"/>
          <w:szCs w:val="21"/>
        </w:rPr>
        <w:t>表五</w:t>
      </w:r>
      <w:r>
        <w:rPr>
          <w:rFonts w:ascii="宋体" w:hAnsi="宋体" w:cs="微软雅黑"/>
          <w:szCs w:val="21"/>
        </w:rPr>
        <w:t xml:space="preserve"> </w:t>
      </w:r>
      <w:r>
        <w:rPr>
          <w:rFonts w:hint="eastAsia" w:ascii="宋体" w:hAnsi="宋体" w:cs="微软雅黑"/>
          <w:szCs w:val="21"/>
        </w:rPr>
        <w:t>中西面点工艺专业实训实习课程教学内容及要求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403"/>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dxa"/>
          </w:tcPr>
          <w:p>
            <w:pPr>
              <w:jc w:val="center"/>
              <w:rPr>
                <w:rFonts w:ascii="宋体" w:hAnsi="宋体" w:cs="宋体"/>
                <w:szCs w:val="21"/>
              </w:rPr>
            </w:pPr>
            <w:r>
              <w:rPr>
                <w:rFonts w:hint="eastAsia" w:ascii="宋体" w:hAnsi="宋体" w:cs="宋体"/>
                <w:szCs w:val="21"/>
              </w:rPr>
              <w:t>序号</w:t>
            </w:r>
          </w:p>
        </w:tc>
        <w:tc>
          <w:tcPr>
            <w:tcW w:w="1403" w:type="dxa"/>
          </w:tcPr>
          <w:p>
            <w:pPr>
              <w:jc w:val="center"/>
              <w:rPr>
                <w:rFonts w:ascii="宋体" w:hAnsi="宋体" w:cs="宋体"/>
                <w:szCs w:val="21"/>
              </w:rPr>
            </w:pPr>
            <w:r>
              <w:rPr>
                <w:rFonts w:hint="eastAsia" w:ascii="宋体" w:hAnsi="宋体" w:cs="宋体"/>
                <w:szCs w:val="21"/>
              </w:rPr>
              <w:t>课程名称</w:t>
            </w:r>
          </w:p>
        </w:tc>
        <w:tc>
          <w:tcPr>
            <w:tcW w:w="6750" w:type="dxa"/>
          </w:tcPr>
          <w:p>
            <w:pPr>
              <w:jc w:val="center"/>
              <w:rPr>
                <w:rFonts w:ascii="宋体" w:hAnsi="宋体" w:cs="宋体"/>
                <w:szCs w:val="21"/>
              </w:rPr>
            </w:pPr>
            <w:r>
              <w:rPr>
                <w:rFonts w:hint="eastAsia" w:ascii="宋体" w:hAnsi="宋体" w:cs="宋体"/>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42" w:type="dxa"/>
            <w:vAlign w:val="center"/>
          </w:tcPr>
          <w:p>
            <w:pPr>
              <w:tabs>
                <w:tab w:val="left" w:pos="239"/>
              </w:tabs>
              <w:adjustRightInd w:val="0"/>
              <w:snapToGrid w:val="0"/>
              <w:jc w:val="center"/>
              <w:rPr>
                <w:rFonts w:ascii="宋体" w:hAnsi="宋体" w:cs="宋体"/>
              </w:rPr>
            </w:pPr>
            <w:r>
              <w:rPr>
                <w:rFonts w:hint="eastAsia" w:ascii="宋体" w:hAnsi="宋体" w:cs="宋体"/>
              </w:rPr>
              <w:t>1</w:t>
            </w:r>
          </w:p>
        </w:tc>
        <w:tc>
          <w:tcPr>
            <w:tcW w:w="1403" w:type="dxa"/>
            <w:vAlign w:val="center"/>
          </w:tcPr>
          <w:p>
            <w:pPr>
              <w:widowControl/>
              <w:jc w:val="center"/>
              <w:textAlignment w:val="center"/>
            </w:pPr>
            <w:r>
              <w:rPr>
                <w:rFonts w:hint="eastAsia" w:ascii="宋体" w:hAnsi="宋体" w:cs="宋体"/>
                <w:kern w:val="0"/>
                <w:szCs w:val="21"/>
              </w:rPr>
              <w:t>基本功综合训练（面点基本功实训、营养配餐实训）</w:t>
            </w:r>
          </w:p>
        </w:tc>
        <w:tc>
          <w:tcPr>
            <w:tcW w:w="6750" w:type="dxa"/>
            <w:vAlign w:val="center"/>
          </w:tcPr>
          <w:p>
            <w:pPr>
              <w:adjustRightInd w:val="0"/>
              <w:snapToGrid w:val="0"/>
              <w:ind w:firstLine="420" w:firstLineChars="200"/>
              <w:rPr>
                <w:rFonts w:ascii="宋体" w:hAnsi="宋体" w:cs="宋体"/>
              </w:rPr>
            </w:pPr>
            <w:r>
              <w:rPr>
                <w:rFonts w:hint="eastAsia" w:ascii="宋体" w:hAnsi="宋体" w:cs="宋体"/>
                <w:kern w:val="0"/>
                <w:szCs w:val="21"/>
              </w:rPr>
              <w:t>本课程主要任务是讲授烹饪专业所必需的专业基础知识，使学生在掌握专业基础理论知识的基础上进行技能操作；培养运用面点基础知识，解决面点制作过程中实际问题的能力，为学生继续深造和适应职业转换奠定必要的知识和能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2</w:t>
            </w:r>
          </w:p>
        </w:tc>
        <w:tc>
          <w:tcPr>
            <w:tcW w:w="1403" w:type="dxa"/>
            <w:vAlign w:val="center"/>
          </w:tcPr>
          <w:p>
            <w:pPr>
              <w:widowControl/>
              <w:jc w:val="center"/>
              <w:textAlignment w:val="center"/>
              <w:rPr>
                <w:rFonts w:ascii="宋体" w:hAnsi="宋体" w:cs="宋体"/>
              </w:rPr>
            </w:pPr>
            <w:r>
              <w:rPr>
                <w:rFonts w:hint="eastAsia" w:ascii="宋体" w:hAnsi="宋体" w:cs="宋体"/>
                <w:kern w:val="0"/>
                <w:szCs w:val="21"/>
              </w:rPr>
              <w:t>食品雕刻与冷拼</w:t>
            </w:r>
          </w:p>
        </w:tc>
        <w:tc>
          <w:tcPr>
            <w:tcW w:w="6750" w:type="dxa"/>
            <w:vAlign w:val="center"/>
          </w:tcPr>
          <w:p>
            <w:pPr>
              <w:adjustRightInd w:val="0"/>
              <w:snapToGrid w:val="0"/>
              <w:ind w:firstLine="420" w:firstLineChars="200"/>
              <w:rPr>
                <w:rFonts w:ascii="宋体" w:hAnsi="宋体" w:cs="宋体"/>
              </w:rPr>
            </w:pPr>
            <w:r>
              <w:rPr>
                <w:rFonts w:hint="eastAsia" w:ascii="宋体" w:hAnsi="宋体" w:cs="宋体"/>
                <w:kern w:val="0"/>
                <w:szCs w:val="21"/>
              </w:rPr>
              <w:t>本课程在开展中主要培养学生学习简单的雕刻、冷拼的基本方法。培养细致、敏锐的观察能力和奇妙、独特的想像能力，发展创新意识和动手能力，大胆实践果蔬雕刻与冷拼，体验雕刻乐趣，感受冷拼的魅力，增强对自然和生活的热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3</w:t>
            </w:r>
          </w:p>
        </w:tc>
        <w:tc>
          <w:tcPr>
            <w:tcW w:w="1403" w:type="dxa"/>
            <w:vAlign w:val="center"/>
          </w:tcPr>
          <w:p>
            <w:pPr>
              <w:adjustRightInd w:val="0"/>
              <w:snapToGrid w:val="0"/>
              <w:jc w:val="center"/>
              <w:rPr>
                <w:rFonts w:ascii="宋体" w:hAnsi="宋体" w:cs="宋体"/>
              </w:rPr>
            </w:pPr>
            <w:r>
              <w:rPr>
                <w:rFonts w:hint="eastAsia" w:ascii="宋体" w:hAnsi="宋体" w:cs="宋体"/>
              </w:rPr>
              <w:t>毕业设计（论文）</w:t>
            </w:r>
          </w:p>
        </w:tc>
        <w:tc>
          <w:tcPr>
            <w:tcW w:w="6750" w:type="dxa"/>
            <w:vAlign w:val="center"/>
          </w:tcPr>
          <w:p>
            <w:pPr>
              <w:adjustRightInd w:val="0"/>
              <w:snapToGrid w:val="0"/>
              <w:ind w:firstLine="420" w:firstLineChars="200"/>
              <w:rPr>
                <w:rFonts w:ascii="宋体" w:hAnsi="宋体" w:cs="宋体"/>
              </w:rPr>
            </w:pPr>
            <w:r>
              <w:rPr>
                <w:rFonts w:hint="eastAsia" w:ascii="宋体" w:hAnsi="宋体" w:cs="宋体"/>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论文）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4</w:t>
            </w:r>
          </w:p>
        </w:tc>
        <w:tc>
          <w:tcPr>
            <w:tcW w:w="1403" w:type="dxa"/>
            <w:vAlign w:val="center"/>
          </w:tcPr>
          <w:p>
            <w:pPr>
              <w:adjustRightInd w:val="0"/>
              <w:snapToGrid w:val="0"/>
              <w:jc w:val="center"/>
              <w:rPr>
                <w:rFonts w:ascii="宋体" w:hAnsi="宋体" w:cs="宋体"/>
              </w:rPr>
            </w:pPr>
            <w:r>
              <w:rPr>
                <w:rFonts w:hint="eastAsia" w:ascii="宋体" w:hAnsi="宋体" w:cs="宋体"/>
              </w:rPr>
              <w:t>顶岗实习</w:t>
            </w:r>
          </w:p>
        </w:tc>
        <w:tc>
          <w:tcPr>
            <w:tcW w:w="6750" w:type="dxa"/>
            <w:vAlign w:val="center"/>
          </w:tcPr>
          <w:p>
            <w:pPr>
              <w:adjustRightInd w:val="0"/>
              <w:snapToGrid w:val="0"/>
              <w:ind w:firstLine="420" w:firstLineChars="200"/>
              <w:rPr>
                <w:rFonts w:ascii="宋体" w:hAnsi="宋体" w:cs="宋体"/>
              </w:rPr>
            </w:pPr>
            <w:r>
              <w:rPr>
                <w:rFonts w:hint="eastAsia" w:ascii="宋体" w:hAnsi="宋体" w:cs="宋体"/>
              </w:rPr>
              <w:t>第六学期安排 6 个月的顶岗实习，学生从事面点工作，通过工作掌握有关厨房工作的具体工作任务，在实践教师的指导下，完成预定的学习任务，同时培养学生综合素质、动手能力，缩短学生走上工作岗位的适应期，提高就业竞争能力，是产学合作教育的重要教学环节。通过学生在企业的顶岗实习，将所学的专业知识进行实践性融合，使学生对中西面点制作技术更加熟练，为学生今后的就业做好铺垫。</w:t>
            </w:r>
          </w:p>
        </w:tc>
      </w:tr>
    </w:tbl>
    <w:p>
      <w:pPr>
        <w:spacing w:line="360" w:lineRule="auto"/>
        <w:rPr>
          <w:rFonts w:ascii="宋体" w:hAnsi="宋体"/>
          <w:szCs w:val="21"/>
        </w:rPr>
      </w:pPr>
    </w:p>
    <w:p>
      <w:pPr>
        <w:spacing w:line="360" w:lineRule="auto"/>
        <w:ind w:firstLine="560" w:firstLineChars="200"/>
        <w:outlineLvl w:val="1"/>
        <w:rPr>
          <w:rFonts w:eastAsia="黑体"/>
          <w:sz w:val="28"/>
          <w:szCs w:val="28"/>
        </w:rPr>
      </w:pPr>
      <w:r>
        <w:rPr>
          <w:rFonts w:hint="eastAsia" w:eastAsia="黑体"/>
          <w:sz w:val="28"/>
          <w:szCs w:val="28"/>
        </w:rPr>
        <w:t>七、教学进程总体安排</w:t>
      </w:r>
    </w:p>
    <w:p>
      <w:pPr>
        <w:spacing w:line="360" w:lineRule="auto"/>
        <w:ind w:firstLine="480" w:firstLineChars="200"/>
        <w:outlineLvl w:val="1"/>
        <w:rPr>
          <w:rFonts w:eastAsia="黑体"/>
          <w:sz w:val="28"/>
          <w:szCs w:val="28"/>
        </w:rPr>
      </w:pPr>
      <w:r>
        <w:rPr>
          <w:rFonts w:ascii="黑体" w:hAnsi="黑体" w:eastAsia="黑体"/>
          <w:sz w:val="24"/>
        </w:rPr>
        <w:t>（</w:t>
      </w:r>
      <w:r>
        <w:rPr>
          <w:rFonts w:hint="eastAsia" w:ascii="黑体" w:hAnsi="黑体" w:eastAsia="黑体"/>
          <w:sz w:val="24"/>
        </w:rPr>
        <w:t>一</w:t>
      </w:r>
      <w:r>
        <w:rPr>
          <w:rFonts w:ascii="黑体" w:hAnsi="黑体" w:eastAsia="黑体"/>
          <w:sz w:val="24"/>
        </w:rPr>
        <w:t>）</w:t>
      </w:r>
      <w:r>
        <w:rPr>
          <w:rFonts w:hint="eastAsia" w:ascii="黑体" w:hAnsi="黑体" w:eastAsia="黑体"/>
          <w:sz w:val="24"/>
        </w:rPr>
        <w:t>教学进程安排表</w:t>
      </w:r>
    </w:p>
    <w:p>
      <w:pPr>
        <w:spacing w:line="360" w:lineRule="auto"/>
        <w:ind w:firstLine="420" w:firstLineChars="200"/>
        <w:rPr>
          <w:rFonts w:ascii="宋体" w:hAnsi="宋体" w:cs="微软雅黑"/>
          <w:szCs w:val="21"/>
        </w:rPr>
      </w:pPr>
      <w:r>
        <w:rPr>
          <w:rFonts w:hint="eastAsia" w:ascii="宋体" w:hAnsi="宋体" w:cs="微软雅黑"/>
          <w:szCs w:val="21"/>
        </w:rPr>
        <w:t>教学进程安排表如表六所示。</w:t>
      </w:r>
    </w:p>
    <w:p>
      <w:pPr>
        <w:spacing w:line="360" w:lineRule="auto"/>
        <w:ind w:firstLine="420" w:firstLineChars="200"/>
        <w:jc w:val="center"/>
        <w:rPr>
          <w:rFonts w:ascii="宋体" w:hAnsi="宋体"/>
          <w:kern w:val="0"/>
          <w:szCs w:val="21"/>
        </w:rPr>
      </w:pPr>
      <w:r>
        <w:rPr>
          <w:rFonts w:ascii="宋体" w:hAnsi="宋体"/>
          <w:kern w:val="0"/>
          <w:szCs w:val="21"/>
        </w:rPr>
        <w:t>表</w:t>
      </w:r>
      <w:r>
        <w:rPr>
          <w:rFonts w:hint="eastAsia" w:ascii="宋体" w:hAnsi="宋体"/>
          <w:kern w:val="0"/>
          <w:szCs w:val="21"/>
        </w:rPr>
        <w:t>六</w:t>
      </w:r>
      <w:r>
        <w:rPr>
          <w:rFonts w:ascii="宋体" w:hAnsi="宋体"/>
          <w:kern w:val="0"/>
          <w:szCs w:val="21"/>
        </w:rPr>
        <w:t xml:space="preserve"> 教学</w:t>
      </w:r>
      <w:r>
        <w:rPr>
          <w:rFonts w:hint="eastAsia" w:ascii="宋体" w:hAnsi="宋体"/>
          <w:kern w:val="0"/>
          <w:szCs w:val="21"/>
        </w:rPr>
        <w:t>进程安排</w:t>
      </w:r>
      <w:r>
        <w:rPr>
          <w:rFonts w:ascii="宋体" w:hAnsi="宋体"/>
          <w:kern w:val="0"/>
          <w:szCs w:val="21"/>
        </w:rPr>
        <w:t>表</w:t>
      </w:r>
    </w:p>
    <w:tbl>
      <w:tblPr>
        <w:tblStyle w:val="1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470"/>
        <w:gridCol w:w="415"/>
        <w:gridCol w:w="965"/>
        <w:gridCol w:w="914"/>
        <w:gridCol w:w="614"/>
        <w:gridCol w:w="614"/>
        <w:gridCol w:w="733"/>
        <w:gridCol w:w="796"/>
        <w:gridCol w:w="614"/>
        <w:gridCol w:w="614"/>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309" w:type="dxa"/>
          </w:tcPr>
          <w:p>
            <w:pPr>
              <w:pStyle w:val="54"/>
              <w:rPr>
                <w:rFonts w:ascii="宋体" w:hAnsi="宋体" w:cs="宋体"/>
                <w:kern w:val="0"/>
                <w:szCs w:val="21"/>
              </w:rPr>
            </w:pPr>
            <w:r>
              <w:rPr>
                <w:rFonts w:ascii="宋体" w:hAnsi="宋体" w:cs="宋体"/>
                <w:kern w:val="0"/>
                <w:szCs w:val="21"/>
              </w:rPr>
              <mc:AlternateContent>
                <mc:Choice Requires="wps">
                  <w:drawing>
                    <wp:anchor distT="0" distB="0" distL="0" distR="0" simplePos="0" relativeHeight="251659264" behindDoc="0" locked="0" layoutInCell="1" allowOverlap="1">
                      <wp:simplePos x="0" y="0"/>
                      <wp:positionH relativeFrom="column">
                        <wp:posOffset>-62230</wp:posOffset>
                      </wp:positionH>
                      <wp:positionV relativeFrom="paragraph">
                        <wp:posOffset>-8255</wp:posOffset>
                      </wp:positionV>
                      <wp:extent cx="795655" cy="494665"/>
                      <wp:effectExtent l="2540" t="3810" r="11430" b="8890"/>
                      <wp:wrapNone/>
                      <wp:docPr id="1027" name="直接连接符 6"/>
                      <wp:cNvGraphicFramePr/>
                      <a:graphic xmlns:a="http://schemas.openxmlformats.org/drawingml/2006/main">
                        <a:graphicData uri="http://schemas.microsoft.com/office/word/2010/wordprocessingShape">
                          <wps:wsp>
                            <wps:cNvCnPr/>
                            <wps:spPr>
                              <a:xfrm>
                                <a:off x="0" y="0"/>
                                <a:ext cx="795655" cy="494665"/>
                              </a:xfrm>
                              <a:prstGeom prst="straightConnector1">
                                <a:avLst/>
                              </a:prstGeom>
                              <a:ln w="6350" cap="flat" cmpd="sng">
                                <a:solidFill>
                                  <a:srgbClr val="000000"/>
                                </a:solidFill>
                                <a:prstDash val="solid"/>
                                <a:round/>
                                <a:headEnd type="none" w="med" len="med"/>
                                <a:tailEnd type="none" w="med" len="med"/>
                              </a:ln>
                            </wps:spPr>
                            <wps:bodyPr/>
                          </wps:wsp>
                        </a:graphicData>
                      </a:graphic>
                    </wp:anchor>
                  </w:drawing>
                </mc:Choice>
                <mc:Fallback>
                  <w:pict>
                    <v:shape id="直接连接符 6" o:spid="_x0000_s1026" o:spt="32" type="#_x0000_t32" style="position:absolute;left:0pt;margin-left:-4.9pt;margin-top:-0.65pt;height:38.95pt;width:62.65pt;z-index:251659264;mso-width-relative:page;mso-height-relative:page;" filled="f" stroked="t" coordsize="21600,21600" o:gfxdata="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1VyiNgAAAAIAQAADwAAAAAAAAABACAAAAAiAAAAZHJzL2Rv&#10;d25yZXYueG1sUEsBAhQAFAAAAAgAh07iQN0qk4QBAgAA9wMAAA4AAAAAAAAAAQAgAAAAJwEAAGRy&#10;cy9lMm9Eb2MueG1sUEsFBgAAAAAGAAYAWQEAAJoFAAAAAA==&#10;">
                      <v:fill on="f" focussize="0,0"/>
                      <v:stroke weight="0.5pt" color="#000000" joinstyle="round"/>
                      <v:imagedata o:title=""/>
                      <o:lock v:ext="edit" aspectratio="f"/>
                    </v:shape>
                  </w:pict>
                </mc:Fallback>
              </mc:AlternateContent>
            </w:r>
            <w:r>
              <w:rPr>
                <w:rFonts w:ascii="宋体" w:hAnsi="宋体" w:cs="宋体"/>
                <w:kern w:val="0"/>
                <w:szCs w:val="21"/>
              </w:rPr>
              <mc:AlternateContent>
                <mc:Choice Requires="wps">
                  <w:drawing>
                    <wp:anchor distT="0" distB="0" distL="0" distR="0" simplePos="0" relativeHeight="251659264" behindDoc="0" locked="0" layoutInCell="1" allowOverlap="1">
                      <wp:simplePos x="0" y="0"/>
                      <wp:positionH relativeFrom="column">
                        <wp:posOffset>-55880</wp:posOffset>
                      </wp:positionH>
                      <wp:positionV relativeFrom="paragraph">
                        <wp:posOffset>0</wp:posOffset>
                      </wp:positionV>
                      <wp:extent cx="568960" cy="1536065"/>
                      <wp:effectExtent l="4445" t="1905" r="9525" b="5715"/>
                      <wp:wrapNone/>
                      <wp:docPr id="1028" name="直接箭头连接符 7"/>
                      <wp:cNvGraphicFramePr/>
                      <a:graphic xmlns:a="http://schemas.openxmlformats.org/drawingml/2006/main">
                        <a:graphicData uri="http://schemas.microsoft.com/office/word/2010/wordprocessingShape">
                          <wps:wsp>
                            <wps:cNvCnPr/>
                            <wps:spPr>
                              <a:xfrm>
                                <a:off x="0" y="0"/>
                                <a:ext cx="568960" cy="1536065"/>
                              </a:xfrm>
                              <a:prstGeom prst="straightConnector1">
                                <a:avLst/>
                              </a:prstGeom>
                              <a:ln w="6350" cap="flat" cmpd="sng">
                                <a:solidFill>
                                  <a:srgbClr val="000000"/>
                                </a:solidFill>
                                <a:prstDash val="solid"/>
                                <a:round/>
                                <a:headEnd type="none" w="med" len="med"/>
                                <a:tailEnd type="none" w="med" len="med"/>
                              </a:ln>
                            </wps:spPr>
                            <wps:bodyPr/>
                          </wps:wsp>
                        </a:graphicData>
                      </a:graphic>
                    </wp:anchor>
                  </w:drawing>
                </mc:Choice>
                <mc:Fallback>
                  <w:pict>
                    <v:shape id="直接箭头连接符 7" o:spid="_x0000_s1026" o:spt="32" type="#_x0000_t32" style="position:absolute;left:0pt;margin-left:-4.4pt;margin-top:0pt;height:120.95pt;width:44.8pt;z-index:251659264;mso-width-relative:page;mso-height-relative:page;" filled="f" stroked="t" coordsize="21600,21600" o:gfxdata="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tIc1AAAAAYBAAAPAAAAAAAAAAEAIAAAACIAAABkcnMv&#10;ZG93bnJldi54bWxQSwECFAAUAAAACACHTuJAhMNzTwcCAAD+AwAADgAAAAAAAAABACAAAAAjAQAA&#10;ZHJzL2Uyb0RvYy54bWxQSwUGAAAAAAYABgBZAQAAnAUAAAAA&#10;">
                      <v:fill on="f" focussize="0,0"/>
                      <v:stroke weight="0.5pt" color="#000000" joinstyle="round"/>
                      <v:imagedata o:title=""/>
                      <o:lock v:ext="edit" aspectratio="f"/>
                    </v:shape>
                  </w:pict>
                </mc:Fallback>
              </mc:AlternateContent>
            </w:r>
            <w:r>
              <w:rPr>
                <w:rFonts w:hint="eastAsia" w:ascii="宋体" w:hAnsi="宋体" w:cs="宋体"/>
                <w:kern w:val="0"/>
                <w:szCs w:val="21"/>
              </w:rPr>
              <w:t xml:space="preserve">      内容</w:t>
            </w:r>
          </w:p>
          <w:p>
            <w:pPr>
              <w:pStyle w:val="54"/>
              <w:rPr>
                <w:rFonts w:ascii="宋体" w:hAnsi="宋体" w:cs="宋体"/>
                <w:kern w:val="0"/>
                <w:szCs w:val="21"/>
              </w:rPr>
            </w:pPr>
          </w:p>
          <w:p>
            <w:pPr>
              <w:pStyle w:val="54"/>
              <w:rPr>
                <w:rFonts w:ascii="宋体" w:hAnsi="宋体" w:cs="宋体"/>
                <w:kern w:val="0"/>
                <w:szCs w:val="21"/>
              </w:rPr>
            </w:pPr>
            <w:r>
              <w:rPr>
                <w:rFonts w:hint="eastAsia" w:ascii="宋体" w:hAnsi="宋体" w:cs="宋体"/>
                <w:kern w:val="0"/>
                <w:szCs w:val="21"/>
              </w:rPr>
              <w:t xml:space="preserve">      周</w:t>
            </w:r>
          </w:p>
          <w:p>
            <w:pPr>
              <w:pStyle w:val="54"/>
              <w:ind w:firstLine="630" w:firstLineChars="300"/>
              <w:rPr>
                <w:rFonts w:ascii="宋体" w:hAnsi="宋体" w:cs="宋体"/>
                <w:kern w:val="0"/>
                <w:szCs w:val="21"/>
              </w:rPr>
            </w:pPr>
            <w:r>
              <w:rPr>
                <w:rFonts w:hint="eastAsia" w:ascii="宋体" w:hAnsi="宋体" w:cs="宋体"/>
                <w:kern w:val="0"/>
                <w:szCs w:val="21"/>
              </w:rPr>
              <w:t>数</w:t>
            </w:r>
          </w:p>
          <w:p>
            <w:pPr>
              <w:pStyle w:val="54"/>
              <w:rPr>
                <w:rFonts w:ascii="宋体" w:hAnsi="宋体" w:cs="宋体"/>
                <w:kern w:val="0"/>
                <w:szCs w:val="21"/>
              </w:rPr>
            </w:pPr>
            <w:r>
              <w:rPr>
                <w:rFonts w:hint="eastAsia" w:ascii="宋体" w:hAnsi="宋体" w:cs="宋体"/>
                <w:kern w:val="0"/>
                <w:szCs w:val="21"/>
              </w:rPr>
              <w:t>学</w:t>
            </w:r>
          </w:p>
          <w:p>
            <w:pPr>
              <w:pStyle w:val="54"/>
              <w:rPr>
                <w:rFonts w:ascii="宋体" w:hAnsi="宋体" w:cs="宋体"/>
                <w:kern w:val="0"/>
                <w:szCs w:val="21"/>
              </w:rPr>
            </w:pPr>
            <w:r>
              <w:rPr>
                <w:rFonts w:hint="eastAsia" w:ascii="宋体" w:hAnsi="宋体" w:cs="宋体"/>
                <w:kern w:val="0"/>
                <w:szCs w:val="21"/>
              </w:rPr>
              <w:t>期</w:t>
            </w:r>
          </w:p>
        </w:tc>
        <w:tc>
          <w:tcPr>
            <w:tcW w:w="470"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教学</w:t>
            </w:r>
          </w:p>
        </w:tc>
        <w:tc>
          <w:tcPr>
            <w:tcW w:w="415"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考核</w:t>
            </w:r>
          </w:p>
        </w:tc>
        <w:tc>
          <w:tcPr>
            <w:tcW w:w="965" w:type="dxa"/>
            <w:vAlign w:val="center"/>
          </w:tcPr>
          <w:p>
            <w:pPr>
              <w:widowControl/>
              <w:spacing w:before="240"/>
              <w:jc w:val="center"/>
              <w:rPr>
                <w:rFonts w:ascii="宋体" w:hAnsi="宋体" w:cs="宋体"/>
                <w:kern w:val="0"/>
                <w:szCs w:val="21"/>
              </w:rPr>
            </w:pPr>
            <w:r>
              <w:rPr>
                <w:rFonts w:hint="eastAsia" w:ascii="宋体" w:hAnsi="宋体" w:cs="宋体"/>
                <w:kern w:val="0"/>
                <w:szCs w:val="21"/>
              </w:rPr>
              <w:t>入学教育军训</w:t>
            </w:r>
          </w:p>
        </w:tc>
        <w:tc>
          <w:tcPr>
            <w:tcW w:w="9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顶岗实习</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1+X证书考证培训</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综合实训</w:t>
            </w:r>
          </w:p>
        </w:tc>
        <w:tc>
          <w:tcPr>
            <w:tcW w:w="733"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毕业教育</w:t>
            </w:r>
          </w:p>
        </w:tc>
        <w:tc>
          <w:tcPr>
            <w:tcW w:w="796"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毕业设计（论文）</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机动</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寒暑假</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1</w:t>
            </w:r>
          </w:p>
        </w:tc>
        <w:tc>
          <w:tcPr>
            <w:tcW w:w="470" w:type="dxa"/>
            <w:noWrap/>
            <w:vAlign w:val="center"/>
          </w:tcPr>
          <w:p>
            <w:pPr>
              <w:jc w:val="center"/>
              <w:rPr>
                <w:rFonts w:ascii="宋体" w:hAnsi="宋体" w:cs="宋体"/>
                <w:szCs w:val="21"/>
              </w:rPr>
            </w:pPr>
            <w:r>
              <w:rPr>
                <w:rFonts w:hint="eastAsia" w:ascii="宋体" w:hAnsi="宋体" w:cs="宋体"/>
                <w:szCs w:val="21"/>
              </w:rPr>
              <w:t>16</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r>
              <w:rPr>
                <w:rFonts w:hint="eastAsia" w:ascii="宋体" w:hAnsi="宋体" w:cs="宋体"/>
                <w:szCs w:val="21"/>
              </w:rPr>
              <w:t>2</w:t>
            </w: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2</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3</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4</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5</w:t>
            </w:r>
          </w:p>
        </w:tc>
        <w:tc>
          <w:tcPr>
            <w:tcW w:w="470" w:type="dxa"/>
            <w:noWrap/>
            <w:vAlign w:val="center"/>
          </w:tcPr>
          <w:p>
            <w:pPr>
              <w:jc w:val="center"/>
              <w:rPr>
                <w:rFonts w:ascii="宋体" w:hAnsi="宋体" w:cs="宋体"/>
                <w:szCs w:val="21"/>
              </w:rPr>
            </w:pPr>
            <w:r>
              <w:rPr>
                <w:rFonts w:hint="eastAsia" w:ascii="宋体" w:hAnsi="宋体" w:cs="宋体"/>
                <w:szCs w:val="21"/>
              </w:rPr>
              <w:t>15</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r>
              <w:rPr>
                <w:rFonts w:hint="eastAsia" w:ascii="宋体" w:hAnsi="宋体" w:cs="宋体"/>
                <w:szCs w:val="21"/>
              </w:rPr>
              <w:t>3</w:t>
            </w: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6</w:t>
            </w:r>
          </w:p>
        </w:tc>
        <w:tc>
          <w:tcPr>
            <w:tcW w:w="470" w:type="dxa"/>
            <w:noWrap/>
            <w:vAlign w:val="center"/>
          </w:tcPr>
          <w:p>
            <w:pPr>
              <w:jc w:val="center"/>
              <w:rPr>
                <w:rFonts w:ascii="宋体" w:hAnsi="宋体" w:cs="宋体"/>
                <w:szCs w:val="21"/>
              </w:rPr>
            </w:pPr>
          </w:p>
        </w:tc>
        <w:tc>
          <w:tcPr>
            <w:tcW w:w="415" w:type="dxa"/>
            <w:noWrap/>
            <w:vAlign w:val="center"/>
          </w:tcPr>
          <w:p>
            <w:pPr>
              <w:jc w:val="center"/>
              <w:rPr>
                <w:rFonts w:ascii="宋体" w:hAnsi="宋体" w:cs="宋体"/>
                <w:szCs w:val="21"/>
              </w:rPr>
            </w:pP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r>
              <w:rPr>
                <w:rFonts w:hint="eastAsia" w:ascii="宋体" w:hAnsi="宋体" w:cs="宋体"/>
                <w:szCs w:val="21"/>
              </w:rPr>
              <w:t>17</w:t>
            </w: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r>
              <w:rPr>
                <w:rFonts w:hint="eastAsia" w:ascii="宋体" w:hAnsi="宋体" w:cs="宋体"/>
                <w:szCs w:val="21"/>
              </w:rPr>
              <w:t>1</w:t>
            </w:r>
          </w:p>
        </w:tc>
        <w:tc>
          <w:tcPr>
            <w:tcW w:w="796"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309" w:type="dxa"/>
            <w:noWrap/>
            <w:vAlign w:val="center"/>
          </w:tcPr>
          <w:p>
            <w:pPr>
              <w:pStyle w:val="54"/>
              <w:jc w:val="center"/>
              <w:rPr>
                <w:rFonts w:ascii="宋体" w:hAnsi="宋体" w:cs="宋体"/>
                <w:kern w:val="0"/>
                <w:szCs w:val="21"/>
              </w:rPr>
            </w:pPr>
            <w:r>
              <w:rPr>
                <w:rFonts w:hint="eastAsia" w:ascii="宋体" w:hAnsi="宋体" w:cs="宋体"/>
                <w:kern w:val="0"/>
                <w:szCs w:val="21"/>
              </w:rPr>
              <w:t>总计</w:t>
            </w:r>
          </w:p>
        </w:tc>
        <w:tc>
          <w:tcPr>
            <w:tcW w:w="470" w:type="dxa"/>
            <w:noWrap/>
            <w:vAlign w:val="center"/>
          </w:tcPr>
          <w:p>
            <w:pPr>
              <w:jc w:val="center"/>
              <w:rPr>
                <w:rFonts w:ascii="宋体" w:hAnsi="宋体" w:cs="宋体"/>
                <w:szCs w:val="21"/>
              </w:rPr>
            </w:pPr>
            <w:r>
              <w:rPr>
                <w:rFonts w:hint="eastAsia" w:ascii="宋体" w:hAnsi="宋体" w:cs="宋体"/>
                <w:szCs w:val="21"/>
              </w:rPr>
              <w:t>88</w:t>
            </w:r>
          </w:p>
        </w:tc>
        <w:tc>
          <w:tcPr>
            <w:tcW w:w="415" w:type="dxa"/>
            <w:noWrap/>
            <w:vAlign w:val="center"/>
          </w:tcPr>
          <w:p>
            <w:pPr>
              <w:jc w:val="center"/>
              <w:rPr>
                <w:rFonts w:ascii="宋体" w:hAnsi="宋体" w:cs="宋体"/>
                <w:szCs w:val="21"/>
              </w:rPr>
            </w:pPr>
            <w:r>
              <w:rPr>
                <w:rFonts w:hint="eastAsia" w:ascii="宋体" w:hAnsi="宋体" w:cs="宋体"/>
                <w:szCs w:val="21"/>
              </w:rPr>
              <w:t>5</w:t>
            </w:r>
          </w:p>
        </w:tc>
        <w:tc>
          <w:tcPr>
            <w:tcW w:w="965" w:type="dxa"/>
            <w:noWrap/>
            <w:vAlign w:val="center"/>
          </w:tcPr>
          <w:p>
            <w:pPr>
              <w:jc w:val="center"/>
              <w:rPr>
                <w:rFonts w:ascii="宋体" w:hAnsi="宋体" w:cs="宋体"/>
                <w:szCs w:val="21"/>
              </w:rPr>
            </w:pPr>
            <w:r>
              <w:rPr>
                <w:rFonts w:hint="eastAsia" w:ascii="宋体" w:hAnsi="宋体" w:cs="宋体"/>
                <w:szCs w:val="21"/>
              </w:rPr>
              <w:t>2</w:t>
            </w:r>
          </w:p>
        </w:tc>
        <w:tc>
          <w:tcPr>
            <w:tcW w:w="914" w:type="dxa"/>
            <w:noWrap/>
            <w:vAlign w:val="center"/>
          </w:tcPr>
          <w:p>
            <w:pPr>
              <w:jc w:val="center"/>
              <w:rPr>
                <w:rFonts w:ascii="宋体" w:hAnsi="宋体" w:cs="宋体"/>
                <w:szCs w:val="21"/>
              </w:rPr>
            </w:pPr>
            <w:r>
              <w:rPr>
                <w:rFonts w:hint="eastAsia" w:ascii="宋体" w:hAnsi="宋体" w:cs="宋体"/>
                <w:szCs w:val="21"/>
              </w:rPr>
              <w:t>17</w:t>
            </w: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r>
              <w:rPr>
                <w:rFonts w:hint="eastAsia" w:ascii="宋体" w:hAnsi="宋体" w:cs="宋体"/>
                <w:szCs w:val="21"/>
              </w:rPr>
              <w:t>1</w:t>
            </w:r>
          </w:p>
        </w:tc>
        <w:tc>
          <w:tcPr>
            <w:tcW w:w="796"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6</w:t>
            </w:r>
          </w:p>
        </w:tc>
        <w:tc>
          <w:tcPr>
            <w:tcW w:w="614" w:type="dxa"/>
            <w:noWrap/>
            <w:vAlign w:val="center"/>
          </w:tcPr>
          <w:p>
            <w:pPr>
              <w:jc w:val="center"/>
              <w:rPr>
                <w:rFonts w:ascii="宋体" w:hAnsi="宋体" w:cs="宋体"/>
                <w:szCs w:val="21"/>
              </w:rPr>
            </w:pPr>
            <w:r>
              <w:rPr>
                <w:rFonts w:hint="eastAsia" w:ascii="宋体" w:hAnsi="宋体" w:cs="宋体"/>
                <w:szCs w:val="21"/>
              </w:rPr>
              <w:t>36</w:t>
            </w:r>
          </w:p>
        </w:tc>
        <w:tc>
          <w:tcPr>
            <w:tcW w:w="614" w:type="dxa"/>
            <w:noWrap/>
            <w:vAlign w:val="center"/>
          </w:tcPr>
          <w:p>
            <w:pPr>
              <w:jc w:val="center"/>
              <w:rPr>
                <w:rFonts w:ascii="宋体" w:hAnsi="宋体" w:cs="宋体"/>
                <w:szCs w:val="21"/>
              </w:rPr>
            </w:pPr>
            <w:r>
              <w:rPr>
                <w:rFonts w:hint="eastAsia" w:ascii="宋体" w:hAnsi="宋体" w:cs="宋体"/>
                <w:szCs w:val="21"/>
              </w:rPr>
              <w:t>156</w:t>
            </w:r>
          </w:p>
        </w:tc>
      </w:tr>
    </w:tbl>
    <w:p>
      <w:pPr>
        <w:spacing w:line="360" w:lineRule="auto"/>
        <w:rPr>
          <w:rFonts w:ascii="黑体" w:hAnsi="黑体" w:eastAsia="黑体"/>
          <w:sz w:val="24"/>
        </w:rPr>
      </w:pPr>
    </w:p>
    <w:p>
      <w:pPr>
        <w:spacing w:line="360" w:lineRule="auto"/>
        <w:ind w:firstLine="480" w:firstLineChars="200"/>
        <w:rPr>
          <w:rFonts w:ascii="黑体" w:hAnsi="黑体" w:eastAsia="黑体"/>
          <w:sz w:val="24"/>
        </w:rPr>
      </w:pPr>
      <w:r>
        <w:rPr>
          <w:rFonts w:ascii="黑体" w:hAnsi="黑体" w:eastAsia="黑体"/>
          <w:sz w:val="24"/>
        </w:rPr>
        <w:t>（</w:t>
      </w:r>
      <w:r>
        <w:rPr>
          <w:rFonts w:hint="eastAsia" w:ascii="黑体" w:hAnsi="黑体" w:eastAsia="黑体"/>
          <w:sz w:val="24"/>
        </w:rPr>
        <w:t>二</w:t>
      </w:r>
      <w:r>
        <w:rPr>
          <w:rFonts w:ascii="黑体" w:hAnsi="黑体" w:eastAsia="黑体"/>
          <w:sz w:val="24"/>
        </w:rPr>
        <w:t>）</w:t>
      </w:r>
      <w:r>
        <w:rPr>
          <w:rFonts w:hint="eastAsia" w:ascii="黑体" w:hAnsi="黑体" w:eastAsia="黑体"/>
          <w:sz w:val="24"/>
        </w:rPr>
        <w:t>课程设置与教学安排计划表</w:t>
      </w:r>
    </w:p>
    <w:p>
      <w:pPr>
        <w:spacing w:line="360" w:lineRule="auto"/>
        <w:ind w:firstLine="420" w:firstLineChars="200"/>
        <w:rPr>
          <w:rFonts w:ascii="宋体" w:hAnsi="宋体" w:cs="微软雅黑"/>
          <w:szCs w:val="21"/>
        </w:rPr>
      </w:pPr>
      <w:r>
        <w:rPr>
          <w:rFonts w:hint="eastAsia" w:ascii="宋体" w:hAnsi="宋体" w:cs="微软雅黑"/>
          <w:szCs w:val="21"/>
        </w:rPr>
        <w:t>中西面点工艺专业课程设置与教学安排计划如表七所示。</w:t>
      </w:r>
    </w:p>
    <w:p>
      <w:pPr>
        <w:spacing w:line="360" w:lineRule="auto"/>
        <w:ind w:firstLine="420" w:firstLineChars="200"/>
        <w:jc w:val="center"/>
        <w:rPr>
          <w:rFonts w:ascii="宋体" w:hAnsi="宋体"/>
          <w:kern w:val="0"/>
          <w:szCs w:val="21"/>
        </w:rPr>
      </w:pPr>
      <w:r>
        <w:rPr>
          <w:rFonts w:ascii="宋体" w:hAnsi="宋体"/>
          <w:kern w:val="0"/>
          <w:szCs w:val="21"/>
        </w:rPr>
        <w:t>表</w:t>
      </w:r>
      <w:r>
        <w:rPr>
          <w:rFonts w:hint="eastAsia" w:ascii="宋体" w:hAnsi="宋体"/>
          <w:kern w:val="0"/>
          <w:szCs w:val="21"/>
        </w:rPr>
        <w:t>七</w:t>
      </w:r>
      <w:r>
        <w:rPr>
          <w:rFonts w:ascii="宋体" w:hAnsi="宋体"/>
          <w:kern w:val="0"/>
          <w:szCs w:val="21"/>
        </w:rPr>
        <w:t xml:space="preserve"> </w:t>
      </w:r>
      <w:r>
        <w:rPr>
          <w:rFonts w:hint="eastAsia" w:ascii="宋体" w:hAnsi="宋体" w:cs="微软雅黑"/>
          <w:szCs w:val="21"/>
        </w:rPr>
        <w:t>中西面点工艺专业</w:t>
      </w:r>
      <w:r>
        <w:rPr>
          <w:rFonts w:hint="eastAsia" w:ascii="宋体" w:hAnsi="宋体"/>
          <w:kern w:val="0"/>
          <w:szCs w:val="21"/>
        </w:rPr>
        <w:t>课程设置与教学安排计划表</w:t>
      </w:r>
    </w:p>
    <w:tbl>
      <w:tblPr>
        <w:tblStyle w:val="15"/>
        <w:tblW w:w="5027" w:type="pct"/>
        <w:tblInd w:w="0" w:type="dxa"/>
        <w:tblLayout w:type="fixed"/>
        <w:tblCellMar>
          <w:top w:w="0" w:type="dxa"/>
          <w:left w:w="108" w:type="dxa"/>
          <w:bottom w:w="0" w:type="dxa"/>
          <w:right w:w="108" w:type="dxa"/>
        </w:tblCellMar>
      </w:tblPr>
      <w:tblGrid>
        <w:gridCol w:w="426"/>
        <w:gridCol w:w="426"/>
        <w:gridCol w:w="425"/>
        <w:gridCol w:w="846"/>
        <w:gridCol w:w="638"/>
        <w:gridCol w:w="425"/>
        <w:gridCol w:w="610"/>
        <w:gridCol w:w="668"/>
        <w:gridCol w:w="640"/>
        <w:gridCol w:w="816"/>
        <w:gridCol w:w="853"/>
        <w:gridCol w:w="1383"/>
        <w:gridCol w:w="458"/>
        <w:gridCol w:w="500"/>
        <w:gridCol w:w="494"/>
        <w:gridCol w:w="653"/>
        <w:gridCol w:w="479"/>
      </w:tblGrid>
      <w:tr>
        <w:tblPrEx>
          <w:tblCellMar>
            <w:top w:w="0" w:type="dxa"/>
            <w:left w:w="108" w:type="dxa"/>
            <w:bottom w:w="0" w:type="dxa"/>
            <w:right w:w="108" w:type="dxa"/>
          </w:tblCellMar>
        </w:tblPrEx>
        <w:trPr>
          <w:trHeight w:val="960" w:hRule="atLeast"/>
        </w:trPr>
        <w:tc>
          <w:tcPr>
            <w:tcW w:w="5000" w:type="pct"/>
            <w:gridSpan w:val="17"/>
            <w:tcBorders>
              <w:top w:val="nil"/>
              <w:left w:val="nil"/>
              <w:bottom w:val="nil"/>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《关于职业院校专业人才培养方案制订与实施工作的指导意见》（教职成〔2019〕13号）：三年制高职总学时数不低于2500，鼓励学生自主学习，公共基础课程学时应当不少于总学时的1/4，</w:t>
            </w:r>
            <w:r>
              <w:rPr>
                <w:rFonts w:hint="eastAsia" w:ascii="宋体" w:hAnsi="宋体" w:cs="宋体"/>
                <w:b/>
                <w:bCs/>
                <w:color w:val="FF0000"/>
                <w:kern w:val="0"/>
                <w:szCs w:val="21"/>
              </w:rPr>
              <w:t>中、高职选修课教学时数占总学时的比例均应当不少于10%，实践课时占总课时的50%以上。</w:t>
            </w:r>
          </w:p>
        </w:tc>
      </w:tr>
      <w:tr>
        <w:trPr>
          <w:trHeight w:val="30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课程性质</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课程类别</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课程</w:t>
            </w:r>
          </w:p>
          <w:p>
            <w:pPr>
              <w:widowControl/>
              <w:jc w:val="center"/>
              <w:rPr>
                <w:rFonts w:hint="eastAsia" w:ascii="宋体" w:hAnsi="宋体" w:cs="宋体"/>
                <w:kern w:val="0"/>
                <w:szCs w:val="21"/>
              </w:rPr>
            </w:pPr>
            <w:r>
              <w:rPr>
                <w:rFonts w:hint="eastAsia" w:ascii="宋体" w:hAnsi="宋体" w:cs="宋体"/>
                <w:kern w:val="0"/>
                <w:szCs w:val="21"/>
              </w:rPr>
              <w:t>编码</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课程名称</w:t>
            </w:r>
          </w:p>
        </w:tc>
        <w:tc>
          <w:tcPr>
            <w:tcW w:w="482"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学期</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学分</w:t>
            </w:r>
          </w:p>
        </w:tc>
        <w:tc>
          <w:tcPr>
            <w:tcW w:w="107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学时数</w:t>
            </w:r>
          </w:p>
        </w:tc>
        <w:tc>
          <w:tcPr>
            <w:tcW w:w="1847"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课程教学周学时</w:t>
            </w:r>
          </w:p>
        </w:tc>
      </w:tr>
      <w:tr>
        <w:tblPrEx>
          <w:tblCellMar>
            <w:top w:w="0" w:type="dxa"/>
            <w:left w:w="108" w:type="dxa"/>
            <w:bottom w:w="0" w:type="dxa"/>
            <w:right w:w="108" w:type="dxa"/>
          </w:tblCellMar>
        </w:tblPrEx>
        <w:trPr>
          <w:trHeight w:val="255" w:hRule="atLeast"/>
        </w:trPr>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考试</w:t>
            </w:r>
          </w:p>
        </w:tc>
        <w:tc>
          <w:tcPr>
            <w:tcW w:w="284"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考查</w:t>
            </w:r>
          </w:p>
        </w:tc>
        <w:tc>
          <w:tcPr>
            <w:tcW w:w="31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总计</w:t>
            </w:r>
          </w:p>
        </w:tc>
        <w:tc>
          <w:tcPr>
            <w:tcW w:w="38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理论</w:t>
            </w:r>
          </w:p>
        </w:tc>
        <w:tc>
          <w:tcPr>
            <w:tcW w:w="39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实践</w:t>
            </w:r>
          </w:p>
        </w:tc>
        <w:tc>
          <w:tcPr>
            <w:tcW w:w="85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第一学年</w:t>
            </w:r>
          </w:p>
        </w:tc>
        <w:tc>
          <w:tcPr>
            <w:tcW w:w="46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第二学年</w:t>
            </w:r>
          </w:p>
        </w:tc>
        <w:tc>
          <w:tcPr>
            <w:tcW w:w="52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第三学年</w:t>
            </w:r>
          </w:p>
        </w:tc>
      </w:tr>
      <w:tr>
        <w:tblPrEx>
          <w:tblCellMar>
            <w:top w:w="0" w:type="dxa"/>
            <w:left w:w="108" w:type="dxa"/>
            <w:bottom w:w="0" w:type="dxa"/>
            <w:right w:w="108" w:type="dxa"/>
          </w:tblCellMar>
        </w:tblPrEx>
        <w:trPr>
          <w:trHeight w:val="255" w:hRule="atLeast"/>
        </w:trPr>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8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8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一</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二</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三</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四</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五</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六</w:t>
            </w:r>
          </w:p>
        </w:tc>
      </w:tr>
      <w:tr>
        <w:tblPrEx>
          <w:tblCellMar>
            <w:top w:w="0" w:type="dxa"/>
            <w:left w:w="108" w:type="dxa"/>
            <w:bottom w:w="0" w:type="dxa"/>
            <w:right w:w="108" w:type="dxa"/>
          </w:tblCellMar>
        </w:tblPrEx>
        <w:trPr>
          <w:trHeight w:val="300" w:hRule="atLeast"/>
        </w:trPr>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8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1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2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8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39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16周</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18周</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18周</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18周</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18周</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18周</w:t>
            </w:r>
          </w:p>
        </w:tc>
      </w:tr>
      <w:tr>
        <w:tblPrEx>
          <w:tblCellMar>
            <w:top w:w="0" w:type="dxa"/>
            <w:left w:w="108" w:type="dxa"/>
            <w:bottom w:w="0" w:type="dxa"/>
            <w:right w:w="108" w:type="dxa"/>
          </w:tblCellMar>
        </w:tblPrEx>
        <w:trPr>
          <w:trHeight w:val="499" w:hRule="atLeast"/>
        </w:trPr>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公共必修课</w:t>
            </w:r>
          </w:p>
        </w:tc>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公共基础课</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GB0001</w:t>
            </w:r>
          </w:p>
        </w:tc>
        <w:tc>
          <w:tcPr>
            <w:tcW w:w="29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军事理论</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36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644"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18/2</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GB0002</w:t>
            </w:r>
          </w:p>
        </w:tc>
        <w:tc>
          <w:tcPr>
            <w:tcW w:w="29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军事技能</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112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112 </w:t>
            </w:r>
          </w:p>
        </w:tc>
        <w:tc>
          <w:tcPr>
            <w:tcW w:w="644"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56/2</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82"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GB0003</w:t>
            </w:r>
          </w:p>
        </w:tc>
        <w:tc>
          <w:tcPr>
            <w:tcW w:w="29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毛泽东思想和中国特色社会主义理论体系概论</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36</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ind w:firstLine="422" w:firstLineChars="200"/>
              <w:jc w:val="left"/>
              <w:rPr>
                <w:rFonts w:hint="eastAsia" w:ascii="宋体" w:hAnsi="宋体" w:cs="宋体"/>
                <w:b/>
                <w:bCs/>
                <w:kern w:val="0"/>
                <w:szCs w:val="21"/>
              </w:rPr>
            </w:pPr>
            <w:r>
              <w:rPr>
                <w:rFonts w:hint="eastAsia" w:ascii="宋体" w:hAnsi="宋体" w:cs="宋体"/>
                <w:b/>
                <w:bCs/>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2" w:firstLineChars="200"/>
              <w:jc w:val="left"/>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91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GB0004</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思想道德修养与法律基础(含廉洁修身)</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48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38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10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GB0005</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形势与政策</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12345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40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40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1624" w:type="pct"/>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每学期8学时</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GB0006</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英语</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8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136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108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28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ind w:firstLine="422" w:firstLineChars="200"/>
              <w:jc w:val="left"/>
              <w:rPr>
                <w:rFonts w:hint="eastAsia" w:ascii="宋体" w:hAnsi="宋体" w:cs="宋体"/>
                <w:b/>
                <w:bCs/>
                <w:kern w:val="0"/>
                <w:szCs w:val="21"/>
              </w:rPr>
            </w:pPr>
            <w:r>
              <w:rPr>
                <w:rFonts w:hint="eastAsia" w:ascii="宋体" w:hAnsi="宋体" w:cs="宋体"/>
                <w:b/>
                <w:bCs/>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GB0007</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体育(含健康教育)</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12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104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30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74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33"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230"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304"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GB0008</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体能测试</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135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18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18 </w:t>
            </w:r>
          </w:p>
        </w:tc>
        <w:tc>
          <w:tcPr>
            <w:tcW w:w="644"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6/1</w:t>
            </w:r>
          </w:p>
        </w:tc>
        <w:tc>
          <w:tcPr>
            <w:tcW w:w="213"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6/1</w:t>
            </w:r>
          </w:p>
        </w:tc>
        <w:tc>
          <w:tcPr>
            <w:tcW w:w="230"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6/1</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GB0009</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信息技术</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12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68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30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38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GB0010</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大学语文</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30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6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82"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GB0011</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大学生心理健康教育</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32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26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6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GB0012</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大学生职业发展与就业指导</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12345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30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24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6 </w:t>
            </w:r>
          </w:p>
        </w:tc>
        <w:tc>
          <w:tcPr>
            <w:tcW w:w="1624" w:type="pct"/>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每学期6学时</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GB0013</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大学生创新创业指导</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12345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30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24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6 </w:t>
            </w:r>
          </w:p>
        </w:tc>
        <w:tc>
          <w:tcPr>
            <w:tcW w:w="1624" w:type="pct"/>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每学期6学时</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GB0014</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国家安全教育</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12345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16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1624" w:type="pct"/>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每学年4-6学时，共16学时</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GB0015</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劳动专题教育</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12345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16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1624" w:type="pct"/>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每学期2-4学时，共16学时</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5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GB0016</w:t>
            </w:r>
          </w:p>
        </w:tc>
        <w:tc>
          <w:tcPr>
            <w:tcW w:w="297" w:type="pct"/>
            <w:tcBorders>
              <w:top w:val="nil"/>
              <w:left w:val="nil"/>
              <w:bottom w:val="single" w:color="000000" w:sz="4" w:space="0"/>
              <w:right w:val="single" w:color="000000"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劳动</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12345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44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44 </w:t>
            </w:r>
          </w:p>
        </w:tc>
        <w:tc>
          <w:tcPr>
            <w:tcW w:w="1624" w:type="pct"/>
            <w:gridSpan w:val="5"/>
            <w:tcBorders>
              <w:top w:val="single" w:color="000000" w:sz="4" w:space="0"/>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每学年设劳动周（安排在寒假或暑假，校内每2周安排一次学生集体劳动，日常实训实习渗透劳动教育）</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0" w:firstLineChars="200"/>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5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GB0017</w:t>
            </w:r>
          </w:p>
        </w:tc>
        <w:tc>
          <w:tcPr>
            <w:tcW w:w="2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习近平新时代中国特色社会主义思想概论</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54</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36</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ind w:firstLine="422" w:firstLineChars="200"/>
              <w:jc w:val="left"/>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499"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89"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公共基础课小计</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xml:space="preserve">42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xml:space="preserve">856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xml:space="preserve">478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xml:space="preserve">378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rPr>
          <w:trHeight w:val="390" w:hRule="atLeast"/>
        </w:trPr>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专业必修课</w:t>
            </w:r>
          </w:p>
        </w:tc>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专业核心课</w:t>
            </w:r>
          </w:p>
        </w:tc>
        <w:tc>
          <w:tcPr>
            <w:tcW w:w="19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9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50321</w:t>
            </w:r>
          </w:p>
        </w:tc>
        <w:tc>
          <w:tcPr>
            <w:tcW w:w="297"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烹饪原料学</w:t>
            </w:r>
          </w:p>
        </w:tc>
        <w:tc>
          <w:tcPr>
            <w:tcW w:w="198"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8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64</w:t>
            </w:r>
          </w:p>
        </w:tc>
        <w:tc>
          <w:tcPr>
            <w:tcW w:w="380"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397"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64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1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50322</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烹饪营养学</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50323</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中医饮食保健学</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50324</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西式面点工艺学</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50325</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中式面点工艺学</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50326</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西点烘焙工艺与制作</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216</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192</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50327</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粤式点心制作</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68</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50328</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中式面点制作</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144</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136</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其他专业课</w:t>
            </w: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50329</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中西烹饪概论</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50330</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烹饪卫生与安全学</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0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7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50331</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烹饪营养与配餐</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2月11日</w:t>
            </w:r>
          </w:p>
        </w:tc>
        <w:tc>
          <w:tcPr>
            <w:tcW w:w="223" w:type="pct"/>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89"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其他专业课小计</w:t>
            </w:r>
          </w:p>
        </w:tc>
        <w:tc>
          <w:tcPr>
            <w:tcW w:w="19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1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6</w:t>
            </w:r>
          </w:p>
        </w:tc>
        <w:tc>
          <w:tcPr>
            <w:tcW w:w="29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94</w:t>
            </w:r>
          </w:p>
        </w:tc>
        <w:tc>
          <w:tcPr>
            <w:tcW w:w="38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42</w:t>
            </w:r>
          </w:p>
        </w:tc>
        <w:tc>
          <w:tcPr>
            <w:tcW w:w="39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52</w:t>
            </w:r>
          </w:p>
        </w:tc>
        <w:tc>
          <w:tcPr>
            <w:tcW w:w="64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1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30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2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1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实习实训课</w:t>
            </w:r>
          </w:p>
        </w:tc>
        <w:tc>
          <w:tcPr>
            <w:tcW w:w="19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9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50332</w:t>
            </w:r>
          </w:p>
        </w:tc>
        <w:tc>
          <w:tcPr>
            <w:tcW w:w="297"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综合训练（面点基本功实训、营养配餐实训、宴席设计实训）</w:t>
            </w:r>
          </w:p>
        </w:tc>
        <w:tc>
          <w:tcPr>
            <w:tcW w:w="198"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311"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380"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397"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64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30"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30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4周</w:t>
            </w:r>
          </w:p>
        </w:tc>
        <w:tc>
          <w:tcPr>
            <w:tcW w:w="22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7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50333</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食品雕刻与冷拼</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64</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56</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2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50334</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毕业设计（论文）</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3周</w:t>
            </w:r>
          </w:p>
        </w:tc>
        <w:tc>
          <w:tcPr>
            <w:tcW w:w="22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1周</w:t>
            </w:r>
          </w:p>
        </w:tc>
      </w:tr>
      <w:tr>
        <w:tblPrEx>
          <w:tblCellMar>
            <w:top w:w="0" w:type="dxa"/>
            <w:left w:w="108" w:type="dxa"/>
            <w:bottom w:w="0" w:type="dxa"/>
            <w:right w:w="108" w:type="dxa"/>
          </w:tblCellMar>
        </w:tblPrEx>
        <w:trPr>
          <w:trHeight w:val="40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50335</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顶岗实习</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510</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510</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17周</w:t>
            </w:r>
          </w:p>
        </w:tc>
      </w:tr>
      <w:tr>
        <w:tblPrEx>
          <w:tblCellMar>
            <w:top w:w="0" w:type="dxa"/>
            <w:left w:w="108" w:type="dxa"/>
            <w:bottom w:w="0" w:type="dxa"/>
            <w:right w:w="108" w:type="dxa"/>
          </w:tblCellMar>
        </w:tblPrEx>
        <w:trPr>
          <w:trHeight w:val="40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89"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实习实训课小计</w:t>
            </w:r>
          </w:p>
        </w:tc>
        <w:tc>
          <w:tcPr>
            <w:tcW w:w="19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1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29</w:t>
            </w:r>
          </w:p>
        </w:tc>
        <w:tc>
          <w:tcPr>
            <w:tcW w:w="29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814</w:t>
            </w:r>
          </w:p>
        </w:tc>
        <w:tc>
          <w:tcPr>
            <w:tcW w:w="38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8</w:t>
            </w:r>
          </w:p>
        </w:tc>
        <w:tc>
          <w:tcPr>
            <w:tcW w:w="39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806</w:t>
            </w:r>
          </w:p>
        </w:tc>
        <w:tc>
          <w:tcPr>
            <w:tcW w:w="64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1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30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2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r>
      <w:tr>
        <w:trPr>
          <w:trHeight w:val="43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087"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专业必修课小计</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43</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1052</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58</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994</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r>
      <w:tr>
        <w:trPr>
          <w:trHeight w:val="510" w:hRule="atLeast"/>
        </w:trPr>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选修课</w:t>
            </w:r>
          </w:p>
        </w:tc>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公共选修课</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GX0001</w:t>
            </w:r>
          </w:p>
          <w:p>
            <w:pPr>
              <w:widowControl/>
              <w:jc w:val="center"/>
              <w:rPr>
                <w:rFonts w:hint="eastAsia" w:ascii="宋体" w:hAnsi="宋体" w:cs="宋体"/>
                <w:kern w:val="0"/>
                <w:szCs w:val="21"/>
              </w:rPr>
            </w:pPr>
            <w:r>
              <w:rPr>
                <w:rFonts w:hint="eastAsia" w:ascii="宋体" w:hAnsi="宋体" w:cs="宋体"/>
                <w:kern w:val="0"/>
                <w:szCs w:val="21"/>
              </w:rPr>
              <w:t>GX0002</w:t>
            </w:r>
          </w:p>
        </w:tc>
        <w:tc>
          <w:tcPr>
            <w:tcW w:w="29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史学类（开设党史、国史等）</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36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000000" w:fill="FFFF00"/>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6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GX0003</w:t>
            </w:r>
          </w:p>
        </w:tc>
        <w:tc>
          <w:tcPr>
            <w:tcW w:w="29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马克思主义中国化进程与青年学生使命担当</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16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5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GX0004</w:t>
            </w:r>
          </w:p>
        </w:tc>
        <w:tc>
          <w:tcPr>
            <w:tcW w:w="29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职业礼仪</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30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6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rPr>
          <w:trHeight w:val="102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GX0005</w:t>
            </w:r>
          </w:p>
          <w:p>
            <w:pPr>
              <w:widowControl/>
              <w:jc w:val="center"/>
              <w:rPr>
                <w:rFonts w:hint="eastAsia" w:ascii="宋体" w:hAnsi="宋体" w:eastAsia="宋体" w:cs="宋体"/>
                <w:kern w:val="0"/>
                <w:szCs w:val="21"/>
                <w:lang w:eastAsia="zh-CN"/>
              </w:rPr>
            </w:pPr>
            <w:r>
              <w:rPr>
                <w:rFonts w:hint="eastAsia" w:ascii="宋体" w:hAnsi="宋体" w:cs="宋体"/>
                <w:kern w:val="0"/>
                <w:szCs w:val="21"/>
              </w:rPr>
              <w:t>GX0006</w:t>
            </w:r>
          </w:p>
          <w:p>
            <w:pPr>
              <w:widowControl/>
              <w:jc w:val="center"/>
              <w:rPr>
                <w:rFonts w:hint="eastAsia" w:ascii="宋体" w:hAnsi="宋体" w:eastAsia="宋体" w:cs="宋体"/>
                <w:kern w:val="0"/>
                <w:szCs w:val="21"/>
                <w:lang w:eastAsia="zh-CN"/>
              </w:rPr>
            </w:pPr>
            <w:r>
              <w:rPr>
                <w:rFonts w:hint="eastAsia" w:ascii="宋体" w:hAnsi="宋体" w:cs="宋体"/>
                <w:kern w:val="0"/>
                <w:szCs w:val="21"/>
              </w:rPr>
              <w:t>GX0007</w:t>
            </w:r>
          </w:p>
          <w:p>
            <w:pPr>
              <w:widowControl/>
              <w:jc w:val="center"/>
              <w:rPr>
                <w:rFonts w:hint="eastAsia" w:ascii="宋体" w:hAnsi="宋体" w:cs="宋体"/>
                <w:kern w:val="0"/>
                <w:szCs w:val="21"/>
              </w:rPr>
            </w:pPr>
            <w:r>
              <w:rPr>
                <w:rFonts w:hint="eastAsia" w:ascii="宋体" w:hAnsi="宋体" w:cs="宋体"/>
                <w:kern w:val="0"/>
                <w:szCs w:val="21"/>
              </w:rPr>
              <w:t>GX0008</w:t>
            </w:r>
          </w:p>
        </w:tc>
        <w:tc>
          <w:tcPr>
            <w:tcW w:w="29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公共艺术类（开设影视鉴赏、书法鉴赏、美术鉴赏、字体设计等）</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4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36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36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3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9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GX0009</w:t>
            </w:r>
          </w:p>
        </w:tc>
        <w:tc>
          <w:tcPr>
            <w:tcW w:w="29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中华优秀传统文化</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5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1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22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22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xml:space="preserve">0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2/11</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rPr>
          <w:trHeight w:val="39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89"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公共选修课需达到6学分</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xml:space="preserve">6 </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xml:space="preserve">110 </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xml:space="preserve">104 </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xml:space="preserve">6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rPr>
          <w:trHeight w:val="63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专业选修课</w:t>
            </w:r>
          </w:p>
        </w:tc>
        <w:tc>
          <w:tcPr>
            <w:tcW w:w="19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9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50336</w:t>
            </w:r>
          </w:p>
        </w:tc>
        <w:tc>
          <w:tcPr>
            <w:tcW w:w="297"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蛋糕制作工艺</w:t>
            </w:r>
          </w:p>
        </w:tc>
        <w:tc>
          <w:tcPr>
            <w:tcW w:w="198"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311"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98"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380"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97"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64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2月11日</w:t>
            </w:r>
          </w:p>
        </w:tc>
        <w:tc>
          <w:tcPr>
            <w:tcW w:w="223" w:type="pct"/>
            <w:tcBorders>
              <w:top w:val="single" w:color="000000" w:sz="8" w:space="0"/>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rPr>
          <w:trHeight w:val="45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50337</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面包制作工艺</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50338</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果酱画制作技术</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5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50339</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餐饮经营管理</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2月11日</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0"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50340</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面塑与翻糖</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45</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58</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0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2月11日</w:t>
            </w:r>
          </w:p>
        </w:tc>
        <w:tc>
          <w:tcPr>
            <w:tcW w:w="223"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9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50341</w:t>
            </w:r>
          </w:p>
        </w:tc>
        <w:tc>
          <w:tcPr>
            <w:tcW w:w="297"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面点基本功</w:t>
            </w:r>
          </w:p>
        </w:tc>
        <w:tc>
          <w:tcPr>
            <w:tcW w:w="1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8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11"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98"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38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397"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56</w:t>
            </w:r>
          </w:p>
        </w:tc>
        <w:tc>
          <w:tcPr>
            <w:tcW w:w="644"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0"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04" w:type="pct"/>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23" w:type="pct"/>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889"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专业选修课需达到12学分</w:t>
            </w:r>
          </w:p>
        </w:tc>
        <w:tc>
          <w:tcPr>
            <w:tcW w:w="19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1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14</w:t>
            </w:r>
          </w:p>
        </w:tc>
        <w:tc>
          <w:tcPr>
            <w:tcW w:w="29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210</w:t>
            </w:r>
          </w:p>
        </w:tc>
        <w:tc>
          <w:tcPr>
            <w:tcW w:w="38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53</w:t>
            </w:r>
          </w:p>
        </w:tc>
        <w:tc>
          <w:tcPr>
            <w:tcW w:w="39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157</w:t>
            </w:r>
          </w:p>
        </w:tc>
        <w:tc>
          <w:tcPr>
            <w:tcW w:w="64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1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30"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0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23"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r>
      <w:tr>
        <w:trPr>
          <w:trHeight w:val="435" w:hRule="atLeast"/>
        </w:trPr>
        <w:tc>
          <w:tcPr>
            <w:tcW w:w="19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Cs w:val="21"/>
              </w:rPr>
            </w:pPr>
          </w:p>
        </w:tc>
        <w:tc>
          <w:tcPr>
            <w:tcW w:w="1087"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选修课小计</w:t>
            </w:r>
          </w:p>
        </w:tc>
        <w:tc>
          <w:tcPr>
            <w:tcW w:w="1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8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20</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320</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157</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163</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465" w:hRule="atLeast"/>
        </w:trPr>
        <w:tc>
          <w:tcPr>
            <w:tcW w:w="176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总计</w:t>
            </w:r>
          </w:p>
        </w:tc>
        <w:tc>
          <w:tcPr>
            <w:tcW w:w="31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105</w:t>
            </w:r>
          </w:p>
        </w:tc>
        <w:tc>
          <w:tcPr>
            <w:tcW w:w="29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2228</w:t>
            </w:r>
          </w:p>
        </w:tc>
        <w:tc>
          <w:tcPr>
            <w:tcW w:w="38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693</w:t>
            </w:r>
          </w:p>
        </w:tc>
        <w:tc>
          <w:tcPr>
            <w:tcW w:w="39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1535</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1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30"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30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22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Cs w:val="21"/>
              </w:rPr>
            </w:pPr>
            <w:r>
              <w:rPr>
                <w:rFonts w:hint="eastAsia" w:ascii="宋体" w:hAnsi="宋体" w:cs="宋体"/>
                <w:b/>
                <w:bCs/>
                <w:kern w:val="0"/>
                <w:szCs w:val="21"/>
              </w:rPr>
              <w:t>　</w:t>
            </w:r>
          </w:p>
        </w:tc>
      </w:tr>
    </w:tbl>
    <w:p>
      <w:pPr>
        <w:widowControl/>
        <w:rPr>
          <w:rFonts w:ascii="宋体" w:hAnsi="宋体" w:cs="宋体"/>
          <w:kern w:val="0"/>
          <w:szCs w:val="21"/>
        </w:rPr>
      </w:pPr>
      <w:r>
        <w:rPr>
          <w:rFonts w:hint="eastAsia" w:ascii="宋体" w:hAnsi="宋体" w:cs="宋体"/>
          <w:kern w:val="0"/>
          <w:szCs w:val="21"/>
        </w:rPr>
        <w:t>专业选修课程选1、3-6，这5门。</w:t>
      </w:r>
    </w:p>
    <w:p>
      <w:pPr>
        <w:adjustRightInd w:val="0"/>
        <w:snapToGrid w:val="0"/>
        <w:spacing w:line="360" w:lineRule="auto"/>
        <w:ind w:firstLine="480" w:firstLineChars="200"/>
        <w:jc w:val="left"/>
        <w:rPr>
          <w:rFonts w:ascii="等线" w:hAnsi="等线"/>
        </w:rPr>
      </w:pPr>
      <w:r>
        <w:rPr>
          <w:rFonts w:hint="eastAsia" w:ascii="黑体" w:hAnsi="黑体" w:eastAsia="黑体"/>
          <w:sz w:val="24"/>
        </w:rPr>
        <w:t>（三）课程结构比例表</w:t>
      </w:r>
    </w:p>
    <w:p>
      <w:pPr>
        <w:adjustRightInd w:val="0"/>
        <w:snapToGrid w:val="0"/>
        <w:spacing w:line="360" w:lineRule="auto"/>
        <w:ind w:firstLine="409" w:firstLineChars="195"/>
        <w:rPr>
          <w:rFonts w:ascii="等线" w:hAnsi="等线"/>
        </w:rPr>
      </w:pPr>
      <w:r>
        <w:rPr>
          <w:rFonts w:hint="eastAsia" w:ascii="等线" w:hAnsi="等线"/>
        </w:rPr>
        <w:t>中西面点工艺专业课程结构比例如表八所示。</w:t>
      </w:r>
    </w:p>
    <w:tbl>
      <w:tblPr>
        <w:tblStyle w:val="15"/>
        <w:tblW w:w="9288" w:type="dxa"/>
        <w:jc w:val="center"/>
        <w:tblLayout w:type="autofit"/>
        <w:tblCellMar>
          <w:top w:w="0" w:type="dxa"/>
          <w:left w:w="108" w:type="dxa"/>
          <w:bottom w:w="0" w:type="dxa"/>
          <w:right w:w="108" w:type="dxa"/>
        </w:tblCellMar>
      </w:tblPr>
      <w:tblGrid>
        <w:gridCol w:w="2003"/>
        <w:gridCol w:w="1178"/>
        <w:gridCol w:w="1186"/>
        <w:gridCol w:w="1178"/>
        <w:gridCol w:w="1178"/>
        <w:gridCol w:w="1282"/>
        <w:gridCol w:w="1283"/>
      </w:tblGrid>
      <w:tr>
        <w:tblPrEx>
          <w:tblCellMar>
            <w:top w:w="0" w:type="dxa"/>
            <w:left w:w="108" w:type="dxa"/>
            <w:bottom w:w="0" w:type="dxa"/>
            <w:right w:w="108" w:type="dxa"/>
          </w:tblCellMar>
        </w:tblPrEx>
        <w:trPr>
          <w:trHeight w:val="285" w:hRule="atLeast"/>
          <w:jc w:val="center"/>
        </w:trPr>
        <w:tc>
          <w:tcPr>
            <w:tcW w:w="9288" w:type="dxa"/>
            <w:gridSpan w:val="7"/>
            <w:tcBorders>
              <w:top w:val="single" w:color="auto" w:sz="4" w:space="0"/>
              <w:left w:val="single" w:color="auto" w:sz="4" w:space="0"/>
              <w:bottom w:val="nil"/>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表八  中西面点工艺专业课程结构比例表</w:t>
            </w:r>
          </w:p>
        </w:tc>
      </w:tr>
      <w:tr>
        <w:tblPrEx>
          <w:tblCellMar>
            <w:top w:w="0" w:type="dxa"/>
            <w:left w:w="108" w:type="dxa"/>
            <w:bottom w:w="0" w:type="dxa"/>
            <w:right w:w="108" w:type="dxa"/>
          </w:tblCellMar>
        </w:tblPrEx>
        <w:trPr>
          <w:trHeight w:val="285" w:hRule="atLeast"/>
          <w:jc w:val="center"/>
        </w:trPr>
        <w:tc>
          <w:tcPr>
            <w:tcW w:w="2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课程分类</w:t>
            </w:r>
          </w:p>
        </w:tc>
        <w:tc>
          <w:tcPr>
            <w:tcW w:w="728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 xml:space="preserve">          学时及比例</w:t>
            </w:r>
          </w:p>
        </w:tc>
      </w:tr>
      <w:tr>
        <w:tblPrEx>
          <w:tblCellMar>
            <w:top w:w="0" w:type="dxa"/>
            <w:left w:w="108" w:type="dxa"/>
            <w:bottom w:w="0" w:type="dxa"/>
            <w:right w:w="108" w:type="dxa"/>
          </w:tblCellMar>
        </w:tblPrEx>
        <w:trPr>
          <w:trHeight w:val="285" w:hRule="atLeast"/>
          <w:jc w:val="center"/>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总学时</w:t>
            </w:r>
          </w:p>
        </w:tc>
        <w:tc>
          <w:tcPr>
            <w:tcW w:w="118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理论</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实践</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w:t>
            </w:r>
          </w:p>
        </w:tc>
      </w:tr>
      <w:tr>
        <w:tblPrEx>
          <w:tblCellMar>
            <w:top w:w="0" w:type="dxa"/>
            <w:left w:w="108" w:type="dxa"/>
            <w:bottom w:w="0" w:type="dxa"/>
            <w:right w:w="108" w:type="dxa"/>
          </w:tblCellMar>
        </w:tblPrEx>
        <w:trPr>
          <w:trHeight w:val="539" w:hRule="atLeast"/>
          <w:jc w:val="center"/>
        </w:trPr>
        <w:tc>
          <w:tcPr>
            <w:tcW w:w="2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公共必修课程</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856</w:t>
            </w:r>
          </w:p>
        </w:tc>
        <w:tc>
          <w:tcPr>
            <w:tcW w:w="1186"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38.4%</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478</w:t>
            </w:r>
          </w:p>
        </w:tc>
        <w:tc>
          <w:tcPr>
            <w:tcW w:w="1178"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21.5%</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378</w:t>
            </w:r>
          </w:p>
        </w:tc>
        <w:tc>
          <w:tcPr>
            <w:tcW w:w="1282"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17.0%</w:t>
            </w:r>
          </w:p>
        </w:tc>
      </w:tr>
      <w:tr>
        <w:tblPrEx>
          <w:tblCellMar>
            <w:top w:w="0" w:type="dxa"/>
            <w:left w:w="108" w:type="dxa"/>
            <w:bottom w:w="0" w:type="dxa"/>
            <w:right w:w="108" w:type="dxa"/>
          </w:tblCellMar>
        </w:tblPrEx>
        <w:trPr>
          <w:trHeight w:val="539" w:hRule="atLeast"/>
          <w:jc w:val="center"/>
        </w:trPr>
        <w:tc>
          <w:tcPr>
            <w:tcW w:w="2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专业必修课程</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1052</w:t>
            </w:r>
          </w:p>
        </w:tc>
        <w:tc>
          <w:tcPr>
            <w:tcW w:w="1186"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47.2%</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58</w:t>
            </w:r>
          </w:p>
        </w:tc>
        <w:tc>
          <w:tcPr>
            <w:tcW w:w="1178"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994</w:t>
            </w:r>
          </w:p>
        </w:tc>
        <w:tc>
          <w:tcPr>
            <w:tcW w:w="1282"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44.6%</w:t>
            </w:r>
          </w:p>
        </w:tc>
      </w:tr>
      <w:tr>
        <w:tblPrEx>
          <w:tblCellMar>
            <w:top w:w="0" w:type="dxa"/>
            <w:left w:w="108" w:type="dxa"/>
            <w:bottom w:w="0" w:type="dxa"/>
            <w:right w:w="108" w:type="dxa"/>
          </w:tblCellMar>
        </w:tblPrEx>
        <w:trPr>
          <w:trHeight w:val="539" w:hRule="atLeast"/>
          <w:jc w:val="center"/>
        </w:trPr>
        <w:tc>
          <w:tcPr>
            <w:tcW w:w="2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必修课程小计</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1908</w:t>
            </w:r>
          </w:p>
        </w:tc>
        <w:tc>
          <w:tcPr>
            <w:tcW w:w="1186"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85.6%</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536</w:t>
            </w:r>
          </w:p>
        </w:tc>
        <w:tc>
          <w:tcPr>
            <w:tcW w:w="1178"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24.1%</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1372</w:t>
            </w:r>
          </w:p>
        </w:tc>
        <w:tc>
          <w:tcPr>
            <w:tcW w:w="1282"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61.6%</w:t>
            </w:r>
          </w:p>
        </w:tc>
      </w:tr>
      <w:tr>
        <w:tblPrEx>
          <w:tblCellMar>
            <w:top w:w="0" w:type="dxa"/>
            <w:left w:w="108" w:type="dxa"/>
            <w:bottom w:w="0" w:type="dxa"/>
            <w:right w:w="108" w:type="dxa"/>
          </w:tblCellMar>
        </w:tblPrEx>
        <w:trPr>
          <w:trHeight w:val="539" w:hRule="atLeast"/>
          <w:jc w:val="center"/>
        </w:trPr>
        <w:tc>
          <w:tcPr>
            <w:tcW w:w="2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公共选修课程</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110</w:t>
            </w:r>
          </w:p>
        </w:tc>
        <w:tc>
          <w:tcPr>
            <w:tcW w:w="1186"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4.9%</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104</w:t>
            </w:r>
          </w:p>
        </w:tc>
        <w:tc>
          <w:tcPr>
            <w:tcW w:w="1178"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4.7%</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282"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0.3%</w:t>
            </w:r>
          </w:p>
        </w:tc>
      </w:tr>
      <w:tr>
        <w:tblPrEx>
          <w:tblCellMar>
            <w:top w:w="0" w:type="dxa"/>
            <w:left w:w="108" w:type="dxa"/>
            <w:bottom w:w="0" w:type="dxa"/>
            <w:right w:w="108" w:type="dxa"/>
          </w:tblCellMar>
        </w:tblPrEx>
        <w:trPr>
          <w:trHeight w:val="539" w:hRule="atLeast"/>
          <w:jc w:val="center"/>
        </w:trPr>
        <w:tc>
          <w:tcPr>
            <w:tcW w:w="2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专业选修课程</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210</w:t>
            </w:r>
          </w:p>
        </w:tc>
        <w:tc>
          <w:tcPr>
            <w:tcW w:w="1186"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9.4%</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53</w:t>
            </w:r>
          </w:p>
        </w:tc>
        <w:tc>
          <w:tcPr>
            <w:tcW w:w="1178"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157</w:t>
            </w:r>
          </w:p>
        </w:tc>
        <w:tc>
          <w:tcPr>
            <w:tcW w:w="1282"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kern w:val="0"/>
                <w:szCs w:val="21"/>
              </w:rPr>
            </w:pPr>
            <w:r>
              <w:rPr>
                <w:rFonts w:hint="eastAsia" w:ascii="宋体" w:hAnsi="宋体" w:cs="宋体"/>
                <w:kern w:val="0"/>
                <w:szCs w:val="21"/>
              </w:rPr>
              <w:t>7.0%</w:t>
            </w:r>
          </w:p>
        </w:tc>
      </w:tr>
      <w:tr>
        <w:tblPrEx>
          <w:tblCellMar>
            <w:top w:w="0" w:type="dxa"/>
            <w:left w:w="108" w:type="dxa"/>
            <w:bottom w:w="0" w:type="dxa"/>
            <w:right w:w="108" w:type="dxa"/>
          </w:tblCellMar>
        </w:tblPrEx>
        <w:trPr>
          <w:trHeight w:val="539" w:hRule="atLeast"/>
          <w:jc w:val="center"/>
        </w:trPr>
        <w:tc>
          <w:tcPr>
            <w:tcW w:w="2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选修课程小计</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320</w:t>
            </w:r>
          </w:p>
        </w:tc>
        <w:tc>
          <w:tcPr>
            <w:tcW w:w="1186"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14.4%</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157</w:t>
            </w:r>
          </w:p>
        </w:tc>
        <w:tc>
          <w:tcPr>
            <w:tcW w:w="1178"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7.0%</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163</w:t>
            </w:r>
          </w:p>
        </w:tc>
        <w:tc>
          <w:tcPr>
            <w:tcW w:w="1282"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7.3%</w:t>
            </w:r>
          </w:p>
        </w:tc>
      </w:tr>
      <w:tr>
        <w:tblPrEx>
          <w:tblCellMar>
            <w:top w:w="0" w:type="dxa"/>
            <w:left w:w="108" w:type="dxa"/>
            <w:bottom w:w="0" w:type="dxa"/>
            <w:right w:w="108" w:type="dxa"/>
          </w:tblCellMar>
        </w:tblPrEx>
        <w:trPr>
          <w:trHeight w:val="285" w:hRule="atLeast"/>
          <w:jc w:val="center"/>
        </w:trPr>
        <w:tc>
          <w:tcPr>
            <w:tcW w:w="20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合</w:t>
            </w:r>
            <w:r>
              <w:rPr>
                <w:color w:val="000000"/>
                <w:kern w:val="0"/>
                <w:szCs w:val="21"/>
              </w:rPr>
              <w:t xml:space="preserve">    </w:t>
            </w:r>
            <w:r>
              <w:rPr>
                <w:rFonts w:hint="eastAsia" w:ascii="宋体" w:hAnsi="宋体" w:cs="宋体"/>
                <w:color w:val="000000"/>
                <w:kern w:val="0"/>
                <w:szCs w:val="21"/>
              </w:rPr>
              <w:t>计</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2228</w:t>
            </w:r>
          </w:p>
        </w:tc>
        <w:tc>
          <w:tcPr>
            <w:tcW w:w="1186"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100.0%</w:t>
            </w:r>
          </w:p>
        </w:tc>
        <w:tc>
          <w:tcPr>
            <w:tcW w:w="11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693</w:t>
            </w:r>
          </w:p>
        </w:tc>
        <w:tc>
          <w:tcPr>
            <w:tcW w:w="1178"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31.1%</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1535</w:t>
            </w:r>
          </w:p>
        </w:tc>
        <w:tc>
          <w:tcPr>
            <w:tcW w:w="1282" w:type="dxa"/>
            <w:tcBorders>
              <w:top w:val="nil"/>
              <w:left w:val="nil"/>
              <w:bottom w:val="single" w:color="auto" w:sz="4" w:space="0"/>
              <w:right w:val="single" w:color="auto" w:sz="4" w:space="0"/>
            </w:tcBorders>
            <w:shd w:val="clear" w:color="000000" w:fill="EEECE1"/>
            <w:vAlign w:val="center"/>
          </w:tcPr>
          <w:p>
            <w:pPr>
              <w:widowControl/>
              <w:jc w:val="center"/>
              <w:rPr>
                <w:rFonts w:hint="eastAsia" w:ascii="宋体" w:hAnsi="宋体" w:cs="宋体"/>
                <w:b/>
                <w:bCs/>
                <w:kern w:val="0"/>
                <w:szCs w:val="21"/>
              </w:rPr>
            </w:pPr>
            <w:r>
              <w:rPr>
                <w:rFonts w:hint="eastAsia" w:ascii="宋体" w:hAnsi="宋体" w:cs="宋体"/>
                <w:b/>
                <w:bCs/>
                <w:kern w:val="0"/>
                <w:szCs w:val="21"/>
              </w:rPr>
              <w:t>68.9%</w:t>
            </w:r>
          </w:p>
        </w:tc>
      </w:tr>
    </w:tbl>
    <w:p>
      <w:pPr>
        <w:spacing w:line="360" w:lineRule="auto"/>
        <w:ind w:firstLine="560" w:firstLineChars="200"/>
        <w:rPr>
          <w:rFonts w:eastAsia="黑体"/>
          <w:sz w:val="28"/>
          <w:szCs w:val="28"/>
        </w:rPr>
      </w:pPr>
    </w:p>
    <w:p>
      <w:pPr>
        <w:spacing w:line="360" w:lineRule="auto"/>
        <w:ind w:firstLine="560" w:firstLineChars="200"/>
        <w:rPr>
          <w:rFonts w:ascii="黑体" w:hAnsi="黑体" w:eastAsia="黑体"/>
          <w:b/>
          <w:bCs/>
          <w:sz w:val="30"/>
          <w:szCs w:val="30"/>
        </w:rPr>
      </w:pPr>
      <w:r>
        <w:rPr>
          <w:rFonts w:hint="eastAsia" w:eastAsia="黑体"/>
          <w:sz w:val="28"/>
          <w:szCs w:val="28"/>
        </w:rPr>
        <w:t>八</w:t>
      </w:r>
      <w:r>
        <w:rPr>
          <w:rFonts w:eastAsia="黑体"/>
          <w:sz w:val="28"/>
          <w:szCs w:val="28"/>
        </w:rPr>
        <w:t>、</w:t>
      </w:r>
      <w:r>
        <w:rPr>
          <w:rFonts w:hint="eastAsia" w:eastAsia="黑体"/>
          <w:sz w:val="28"/>
          <w:szCs w:val="28"/>
        </w:rPr>
        <w:t>实施保障</w:t>
      </w:r>
    </w:p>
    <w:p>
      <w:pPr>
        <w:adjustRightInd w:val="0"/>
        <w:spacing w:line="360" w:lineRule="auto"/>
        <w:ind w:firstLine="480" w:firstLineChars="200"/>
        <w:outlineLvl w:val="2"/>
        <w:rPr>
          <w:rFonts w:ascii="黑体" w:hAnsi="黑体" w:eastAsia="黑体"/>
          <w:sz w:val="24"/>
        </w:rPr>
      </w:pPr>
      <w:r>
        <w:rPr>
          <w:rFonts w:ascii="黑体" w:hAnsi="黑体" w:eastAsia="黑体"/>
          <w:sz w:val="24"/>
        </w:rPr>
        <w:t>（</w:t>
      </w:r>
      <w:r>
        <w:rPr>
          <w:rFonts w:hint="eastAsia" w:ascii="黑体" w:hAnsi="黑体" w:eastAsia="黑体"/>
          <w:sz w:val="24"/>
        </w:rPr>
        <w:t>一</w:t>
      </w:r>
      <w:r>
        <w:rPr>
          <w:rFonts w:ascii="黑体" w:hAnsi="黑体" w:eastAsia="黑体"/>
          <w:sz w:val="24"/>
        </w:rPr>
        <w:t>）师资队伍</w:t>
      </w:r>
    </w:p>
    <w:p>
      <w:pPr>
        <w:spacing w:line="360" w:lineRule="auto"/>
        <w:ind w:firstLine="422" w:firstLineChars="200"/>
        <w:rPr>
          <w:rFonts w:ascii="宋体" w:hAnsi="宋体"/>
          <w:b/>
          <w:szCs w:val="21"/>
        </w:rPr>
      </w:pPr>
      <w:r>
        <w:rPr>
          <w:rFonts w:hint="eastAsia" w:ascii="宋体" w:hAnsi="宋体"/>
          <w:b/>
          <w:szCs w:val="21"/>
        </w:rPr>
        <w:t>1.专业教师任职资格</w:t>
      </w:r>
    </w:p>
    <w:p>
      <w:pPr>
        <w:spacing w:line="360" w:lineRule="auto"/>
        <w:ind w:firstLine="420" w:firstLineChars="200"/>
        <w:rPr>
          <w:rFonts w:ascii="宋体" w:hAnsi="宋体"/>
          <w:szCs w:val="21"/>
        </w:rPr>
      </w:pPr>
      <w:r>
        <w:rPr>
          <w:rFonts w:hint="eastAsia" w:ascii="宋体" w:hAnsi="宋体"/>
          <w:szCs w:val="21"/>
        </w:rPr>
        <w:t>专业教师具有高等职业学校及以上教师资格证书；或具有酒店行业部门经理从业经理（不少于3年）、部门经理或总经理上岗证书；具备研究生及以上学历；职称要求中级和高级达到60%，其中高职称教师不少于20%。</w:t>
      </w:r>
    </w:p>
    <w:p>
      <w:pPr>
        <w:spacing w:line="360" w:lineRule="auto"/>
        <w:ind w:firstLine="422" w:firstLineChars="200"/>
        <w:rPr>
          <w:rFonts w:ascii="宋体" w:hAnsi="宋体"/>
          <w:b/>
          <w:szCs w:val="21"/>
        </w:rPr>
      </w:pPr>
      <w:r>
        <w:rPr>
          <w:rFonts w:hint="eastAsia" w:ascii="宋体" w:hAnsi="宋体"/>
          <w:b/>
          <w:szCs w:val="21"/>
        </w:rPr>
        <w:t xml:space="preserve">2.专任教师任职资格 </w:t>
      </w:r>
    </w:p>
    <w:p>
      <w:pPr>
        <w:spacing w:line="360" w:lineRule="auto"/>
        <w:ind w:firstLine="420" w:firstLineChars="200"/>
        <w:rPr>
          <w:rFonts w:ascii="宋体" w:hAnsi="宋体"/>
          <w:szCs w:val="21"/>
        </w:rPr>
      </w:pPr>
      <w:r>
        <w:rPr>
          <w:rFonts w:hint="eastAsia" w:ascii="宋体" w:hAnsi="宋体"/>
          <w:szCs w:val="21"/>
        </w:rPr>
        <w:t xml:space="preserve">（1）专任教师和实训指导教师应具备一年以上酒店行业实践经历，专业核心技能课程教师应取得二级建造师或一级建造师资格证书。 </w:t>
      </w:r>
    </w:p>
    <w:p>
      <w:pPr>
        <w:spacing w:line="360" w:lineRule="auto"/>
        <w:ind w:firstLine="420" w:firstLineChars="200"/>
        <w:rPr>
          <w:rFonts w:ascii="宋体" w:hAnsi="宋体"/>
          <w:szCs w:val="21"/>
        </w:rPr>
      </w:pPr>
      <w:r>
        <w:rPr>
          <w:rFonts w:hint="eastAsia" w:ascii="宋体" w:hAnsi="宋体"/>
          <w:szCs w:val="21"/>
        </w:rPr>
        <w:t xml:space="preserve">（2）教师要掌握信息现代化教学手段，具备使用或制作多媒体课件进行教学的能力。 </w:t>
      </w:r>
    </w:p>
    <w:p>
      <w:pPr>
        <w:spacing w:line="360" w:lineRule="auto"/>
        <w:ind w:firstLine="420" w:firstLineChars="200"/>
        <w:rPr>
          <w:rFonts w:ascii="宋体" w:hAnsi="宋体"/>
          <w:szCs w:val="21"/>
        </w:rPr>
      </w:pPr>
      <w:r>
        <w:rPr>
          <w:rFonts w:hint="eastAsia" w:ascii="宋体" w:hAnsi="宋体"/>
          <w:szCs w:val="21"/>
        </w:rPr>
        <w:t xml:space="preserve">（3）专任教师(合实训指导教师)应具备对现行教材的筛选、组合能力。 </w:t>
      </w:r>
    </w:p>
    <w:p>
      <w:pPr>
        <w:spacing w:line="360" w:lineRule="auto"/>
        <w:ind w:firstLine="420" w:firstLineChars="200"/>
        <w:rPr>
          <w:rFonts w:ascii="宋体" w:hAnsi="宋体"/>
          <w:szCs w:val="21"/>
        </w:rPr>
      </w:pPr>
      <w:r>
        <w:rPr>
          <w:rFonts w:hint="eastAsia" w:ascii="宋体" w:hAnsi="宋体"/>
          <w:szCs w:val="21"/>
        </w:rPr>
        <w:t xml:space="preserve">（4）明确专业培养目标，能按照教学大纲的要求科学合理的安排教学内容。 </w:t>
      </w:r>
    </w:p>
    <w:p>
      <w:pPr>
        <w:spacing w:line="360" w:lineRule="auto"/>
        <w:ind w:firstLine="420" w:firstLineChars="200"/>
        <w:rPr>
          <w:rFonts w:ascii="宋体" w:hAnsi="宋体"/>
          <w:szCs w:val="21"/>
        </w:rPr>
      </w:pPr>
      <w:r>
        <w:rPr>
          <w:rFonts w:hint="eastAsia" w:ascii="宋体" w:hAnsi="宋体"/>
          <w:szCs w:val="21"/>
        </w:rPr>
        <w:t xml:space="preserve">（5）具备运用灵活多样的教学模式、教学方法进行教学的能力。 </w:t>
      </w:r>
    </w:p>
    <w:p>
      <w:pPr>
        <w:spacing w:line="360" w:lineRule="auto"/>
        <w:ind w:firstLine="420" w:firstLineChars="200"/>
        <w:rPr>
          <w:rFonts w:ascii="宋体" w:hAnsi="宋体"/>
          <w:szCs w:val="21"/>
        </w:rPr>
      </w:pPr>
      <w:r>
        <w:rPr>
          <w:rFonts w:hint="eastAsia" w:ascii="宋体" w:hAnsi="宋体"/>
          <w:szCs w:val="21"/>
        </w:rPr>
        <w:t xml:space="preserve">（6）具有较强的语言表达能力。 </w:t>
      </w:r>
    </w:p>
    <w:p>
      <w:pPr>
        <w:spacing w:line="360" w:lineRule="auto"/>
        <w:ind w:firstLine="420" w:firstLineChars="200"/>
        <w:rPr>
          <w:rFonts w:ascii="宋体" w:hAnsi="宋体"/>
          <w:szCs w:val="21"/>
        </w:rPr>
      </w:pPr>
      <w:r>
        <w:rPr>
          <w:rFonts w:hint="eastAsia" w:ascii="宋体" w:hAnsi="宋体"/>
          <w:szCs w:val="21"/>
        </w:rPr>
        <w:t xml:space="preserve">（7）能够将学生的思想道德教育融入到教学全过程。 </w:t>
      </w:r>
    </w:p>
    <w:p>
      <w:pPr>
        <w:spacing w:line="360" w:lineRule="auto"/>
        <w:ind w:firstLine="420" w:firstLineChars="200"/>
        <w:rPr>
          <w:rFonts w:ascii="宋体" w:hAnsi="宋体"/>
          <w:szCs w:val="21"/>
        </w:rPr>
      </w:pPr>
      <w:r>
        <w:rPr>
          <w:rFonts w:hint="eastAsia" w:ascii="宋体" w:hAnsi="宋体"/>
          <w:szCs w:val="21"/>
        </w:rPr>
        <w:t xml:space="preserve">（8）专任教师应具备餐饮企业挂职工作经历一年以上，对餐饮行业各部门运营状况有实际的了解，具备餐饮行业的实际工作能力。 </w:t>
      </w:r>
    </w:p>
    <w:p>
      <w:pPr>
        <w:spacing w:line="360" w:lineRule="auto"/>
        <w:ind w:firstLine="422" w:firstLineChars="200"/>
        <w:rPr>
          <w:rFonts w:ascii="宋体" w:hAnsi="宋体"/>
          <w:b/>
          <w:szCs w:val="21"/>
        </w:rPr>
      </w:pPr>
      <w:r>
        <w:rPr>
          <w:rFonts w:hint="eastAsia" w:ascii="宋体" w:hAnsi="宋体"/>
          <w:b/>
          <w:szCs w:val="21"/>
        </w:rPr>
        <w:t xml:space="preserve">3.兼课教师任职资格 </w:t>
      </w:r>
    </w:p>
    <w:p>
      <w:pPr>
        <w:spacing w:line="360" w:lineRule="auto"/>
        <w:ind w:firstLine="420" w:firstLineChars="200"/>
        <w:rPr>
          <w:rFonts w:ascii="宋体" w:hAnsi="宋体"/>
          <w:szCs w:val="21"/>
        </w:rPr>
      </w:pPr>
      <w:r>
        <w:rPr>
          <w:rFonts w:hint="eastAsia" w:ascii="宋体" w:hAnsi="宋体"/>
          <w:szCs w:val="21"/>
        </w:rPr>
        <w:t xml:space="preserve">（1）兼课教师应具备一年以上餐饮行业实践经历，专业核心技能课程教师应取得中级以上的技术资格证书。 </w:t>
      </w:r>
    </w:p>
    <w:p>
      <w:pPr>
        <w:spacing w:line="360" w:lineRule="auto"/>
        <w:ind w:firstLine="420" w:firstLineChars="200"/>
        <w:rPr>
          <w:rFonts w:ascii="宋体" w:hAnsi="宋体"/>
          <w:szCs w:val="21"/>
        </w:rPr>
      </w:pPr>
      <w:r>
        <w:rPr>
          <w:rFonts w:hint="eastAsia" w:ascii="宋体" w:hAnsi="宋体"/>
          <w:szCs w:val="21"/>
        </w:rPr>
        <w:t xml:space="preserve">（2）教师要掌握信息现代化教学手段，具备使用或制作多媒体课件进行教学的能力。 </w:t>
      </w:r>
    </w:p>
    <w:p>
      <w:pPr>
        <w:spacing w:line="360" w:lineRule="auto"/>
        <w:ind w:firstLine="420" w:firstLineChars="200"/>
        <w:rPr>
          <w:rFonts w:ascii="宋体" w:hAnsi="宋体"/>
          <w:szCs w:val="21"/>
        </w:rPr>
      </w:pPr>
      <w:r>
        <w:rPr>
          <w:rFonts w:hint="eastAsia" w:ascii="宋体" w:hAnsi="宋体"/>
          <w:szCs w:val="21"/>
        </w:rPr>
        <w:t xml:space="preserve">（3）明确专业培养目标，能按照教学大纲的要求科学合理的安排教学内容。 </w:t>
      </w:r>
    </w:p>
    <w:p>
      <w:pPr>
        <w:spacing w:line="360" w:lineRule="auto"/>
        <w:ind w:firstLine="420" w:firstLineChars="200"/>
        <w:rPr>
          <w:rFonts w:ascii="宋体" w:hAnsi="宋体"/>
          <w:szCs w:val="21"/>
        </w:rPr>
      </w:pPr>
      <w:r>
        <w:rPr>
          <w:rFonts w:hint="eastAsia" w:ascii="宋体" w:hAnsi="宋体"/>
          <w:szCs w:val="21"/>
        </w:rPr>
        <w:t xml:space="preserve">（4）具有较强的语言表达能力。 </w:t>
      </w:r>
    </w:p>
    <w:p>
      <w:pPr>
        <w:spacing w:line="360" w:lineRule="auto"/>
        <w:ind w:firstLine="420" w:firstLineChars="200"/>
        <w:rPr>
          <w:rFonts w:ascii="宋体" w:hAnsi="宋体"/>
          <w:szCs w:val="21"/>
        </w:rPr>
      </w:pPr>
      <w:r>
        <w:rPr>
          <w:rFonts w:hint="eastAsia" w:ascii="宋体" w:hAnsi="宋体"/>
          <w:szCs w:val="21"/>
        </w:rPr>
        <w:t xml:space="preserve">（5）能够将学生的思想道德教育融入到教学全过程。 </w:t>
      </w:r>
    </w:p>
    <w:p>
      <w:pPr>
        <w:spacing w:line="360" w:lineRule="auto"/>
        <w:ind w:firstLine="422" w:firstLineChars="200"/>
        <w:rPr>
          <w:rFonts w:ascii="宋体" w:hAnsi="宋体"/>
          <w:b/>
          <w:szCs w:val="21"/>
        </w:rPr>
      </w:pPr>
      <w:r>
        <w:rPr>
          <w:rFonts w:hint="eastAsia" w:ascii="宋体" w:hAnsi="宋体"/>
          <w:b/>
          <w:szCs w:val="21"/>
        </w:rPr>
        <w:t xml:space="preserve">4.外聘兼职兼课教师任职资格 </w:t>
      </w:r>
    </w:p>
    <w:p>
      <w:pPr>
        <w:spacing w:line="360" w:lineRule="auto"/>
        <w:ind w:firstLine="420" w:firstLineChars="200"/>
        <w:rPr>
          <w:rFonts w:ascii="宋体" w:hAnsi="宋体"/>
          <w:szCs w:val="21"/>
        </w:rPr>
      </w:pPr>
      <w:r>
        <w:rPr>
          <w:rFonts w:hint="eastAsia" w:ascii="宋体" w:hAnsi="宋体"/>
          <w:szCs w:val="21"/>
        </w:rPr>
        <w:t xml:space="preserve">（1）校外兼职教师占专业教师总数30%左右，承担全部学时20%左右教学任务。 </w:t>
      </w:r>
    </w:p>
    <w:p>
      <w:pPr>
        <w:spacing w:line="360" w:lineRule="auto"/>
        <w:ind w:firstLine="420" w:firstLineChars="200"/>
        <w:rPr>
          <w:rFonts w:ascii="宋体" w:hAnsi="宋体"/>
          <w:szCs w:val="21"/>
        </w:rPr>
      </w:pPr>
      <w:r>
        <w:rPr>
          <w:rFonts w:hint="eastAsia" w:ascii="宋体" w:hAnsi="宋体"/>
          <w:szCs w:val="21"/>
        </w:rPr>
        <w:t xml:space="preserve">（2）具有良好的师德，较强的敬业精神，具有一定的教育教学经验，熟悉高等教育的教学方法。 </w:t>
      </w:r>
    </w:p>
    <w:p>
      <w:pPr>
        <w:spacing w:line="360" w:lineRule="auto"/>
        <w:ind w:firstLine="420" w:firstLineChars="200"/>
        <w:rPr>
          <w:rFonts w:ascii="宋体" w:hAnsi="宋体"/>
          <w:szCs w:val="21"/>
        </w:rPr>
      </w:pPr>
      <w:r>
        <w:rPr>
          <w:rFonts w:hint="eastAsia" w:ascii="宋体" w:hAnsi="宋体"/>
          <w:szCs w:val="21"/>
        </w:rPr>
        <w:t xml:space="preserve">（3）具有5年以上本专业工作经历。 </w:t>
      </w:r>
    </w:p>
    <w:p>
      <w:pPr>
        <w:spacing w:line="360" w:lineRule="auto"/>
        <w:ind w:firstLine="420" w:firstLineChars="200"/>
        <w:rPr>
          <w:rFonts w:ascii="宋体" w:hAnsi="宋体"/>
          <w:szCs w:val="21"/>
        </w:rPr>
      </w:pPr>
      <w:r>
        <w:rPr>
          <w:rFonts w:hint="eastAsia" w:ascii="宋体" w:hAnsi="宋体"/>
          <w:szCs w:val="21"/>
        </w:rPr>
        <w:t xml:space="preserve">（4）具有中级(含)专业技术职称或硕士(含)以上学位或大中型企业中层以上管理人员，专业知识水平较高。 </w:t>
      </w:r>
    </w:p>
    <w:p>
      <w:pPr>
        <w:spacing w:line="360" w:lineRule="auto"/>
        <w:ind w:firstLine="420" w:firstLineChars="200"/>
        <w:rPr>
          <w:rFonts w:ascii="宋体" w:hAnsi="宋体"/>
          <w:szCs w:val="21"/>
        </w:rPr>
      </w:pPr>
      <w:r>
        <w:rPr>
          <w:rFonts w:hint="eastAsia" w:ascii="宋体" w:hAnsi="宋体"/>
          <w:szCs w:val="21"/>
        </w:rPr>
        <w:t xml:space="preserve">（5）具有较强的语言表达能力和课堂组织能力。 </w:t>
      </w:r>
    </w:p>
    <w:p>
      <w:pPr>
        <w:spacing w:line="360" w:lineRule="auto"/>
        <w:ind w:firstLine="420" w:firstLineChars="200"/>
        <w:rPr>
          <w:rFonts w:ascii="宋体" w:hAnsi="宋体"/>
          <w:szCs w:val="21"/>
        </w:rPr>
      </w:pPr>
      <w:r>
        <w:rPr>
          <w:rFonts w:hint="eastAsia" w:ascii="宋体" w:hAnsi="宋体"/>
          <w:szCs w:val="21"/>
        </w:rPr>
        <w:t>（6）具有完成课堂讲授、实习指导、论文指导等教学任务的充沛精力和充足时间。</w:t>
      </w:r>
    </w:p>
    <w:p>
      <w:pPr>
        <w:adjustRightInd w:val="0"/>
        <w:spacing w:line="360" w:lineRule="auto"/>
        <w:ind w:firstLine="480" w:firstLineChars="200"/>
        <w:outlineLvl w:val="2"/>
        <w:rPr>
          <w:rFonts w:ascii="黑体" w:hAnsi="黑体" w:eastAsia="黑体"/>
          <w:b/>
          <w:bCs/>
          <w:sz w:val="28"/>
          <w:szCs w:val="28"/>
        </w:rPr>
      </w:pPr>
      <w:r>
        <w:rPr>
          <w:rFonts w:hint="eastAsia" w:ascii="黑体" w:hAnsi="黑体" w:eastAsia="黑体"/>
          <w:sz w:val="24"/>
        </w:rPr>
        <w:t>（二）</w:t>
      </w:r>
      <w:r>
        <w:rPr>
          <w:rFonts w:ascii="黑体" w:hAnsi="黑体" w:eastAsia="黑体"/>
          <w:sz w:val="24"/>
        </w:rPr>
        <w:t>教学设施</w:t>
      </w:r>
      <w:r>
        <w:rPr>
          <w:rFonts w:hint="eastAsia" w:ascii="黑体" w:hAnsi="黑体" w:eastAsia="黑体"/>
          <w:b/>
          <w:bCs/>
          <w:sz w:val="28"/>
          <w:szCs w:val="28"/>
        </w:rPr>
        <w:t xml:space="preserve"> </w:t>
      </w:r>
    </w:p>
    <w:p>
      <w:pPr>
        <w:spacing w:line="360" w:lineRule="auto"/>
        <w:ind w:firstLine="422" w:firstLineChars="200"/>
        <w:rPr>
          <w:rFonts w:ascii="宋体" w:hAnsi="宋体"/>
          <w:b/>
          <w:szCs w:val="21"/>
        </w:rPr>
      </w:pPr>
      <w:r>
        <w:rPr>
          <w:rFonts w:hint="eastAsia" w:ascii="宋体" w:hAnsi="宋体"/>
          <w:b/>
          <w:szCs w:val="21"/>
        </w:rPr>
        <w:t xml:space="preserve">1.校内外实训条件 </w:t>
      </w:r>
    </w:p>
    <w:p>
      <w:pPr>
        <w:spacing w:line="360" w:lineRule="auto"/>
        <w:ind w:firstLine="420" w:firstLineChars="200"/>
        <w:rPr>
          <w:rFonts w:ascii="宋体" w:hAnsi="宋体"/>
          <w:szCs w:val="21"/>
        </w:rPr>
      </w:pPr>
      <w:r>
        <w:rPr>
          <w:rFonts w:hint="eastAsia" w:ascii="宋体" w:hAnsi="宋体"/>
          <w:szCs w:val="21"/>
        </w:rPr>
        <w:t xml:space="preserve">中西面点工艺专业的校内实训设施建设和配置的原则应体现实景、实境的原则，结合当前酒店厨房设施设备和学校教学条件来展开实训教学。 </w:t>
      </w:r>
    </w:p>
    <w:p>
      <w:pPr>
        <w:spacing w:line="360" w:lineRule="auto"/>
        <w:ind w:firstLine="420" w:firstLineChars="200"/>
        <w:rPr>
          <w:rFonts w:ascii="宋体" w:hAnsi="宋体"/>
          <w:szCs w:val="21"/>
        </w:rPr>
      </w:pPr>
      <w:r>
        <w:rPr>
          <w:rFonts w:hint="eastAsia" w:ascii="宋体" w:hAnsi="宋体"/>
          <w:szCs w:val="21"/>
        </w:rPr>
        <w:t>（1）基本功实训室</w:t>
      </w:r>
    </w:p>
    <w:p>
      <w:pPr>
        <w:spacing w:line="360" w:lineRule="auto"/>
        <w:ind w:firstLine="420" w:firstLineChars="200"/>
        <w:rPr>
          <w:rFonts w:ascii="宋体" w:hAnsi="宋体"/>
          <w:szCs w:val="21"/>
        </w:rPr>
      </w:pPr>
      <w:r>
        <w:rPr>
          <w:rFonts w:hint="eastAsia" w:ascii="宋体" w:hAnsi="宋体"/>
          <w:szCs w:val="21"/>
        </w:rPr>
        <w:t xml:space="preserve">学生在本实训室内利用器具，进行面点基本功练习，通过训练学生中西式面点作品成型前的基本制作技艺以及作品成型的技艺，使学生掌握专业基本技能，培养学生的团队意识和协作精神。本实训室的项目应包括:中式面点基本功实训、西式面点基本功实训。 </w:t>
      </w:r>
    </w:p>
    <w:p>
      <w:pPr>
        <w:spacing w:line="360" w:lineRule="auto"/>
        <w:ind w:firstLine="420" w:firstLineChars="200"/>
        <w:rPr>
          <w:rFonts w:ascii="宋体" w:hAnsi="宋体"/>
          <w:szCs w:val="21"/>
        </w:rPr>
      </w:pPr>
      <w:r>
        <w:rPr>
          <w:rFonts w:hint="eastAsia" w:ascii="宋体" w:hAnsi="宋体"/>
          <w:szCs w:val="21"/>
        </w:rPr>
        <w:t>（2）中式面点实训室</w:t>
      </w:r>
    </w:p>
    <w:p>
      <w:pPr>
        <w:spacing w:line="360" w:lineRule="auto"/>
        <w:ind w:firstLine="420" w:firstLineChars="200"/>
        <w:rPr>
          <w:rFonts w:ascii="宋体" w:hAnsi="宋体"/>
          <w:szCs w:val="21"/>
        </w:rPr>
      </w:pPr>
      <w:r>
        <w:rPr>
          <w:rFonts w:hint="eastAsia" w:ascii="宋体" w:hAnsi="宋体"/>
          <w:szCs w:val="21"/>
        </w:rPr>
        <w:t xml:space="preserve">学生在本实训室进行中式面点制作、广式点心制作等。学生通过操作点心设备、对传统中式点心学习和实训。 </w:t>
      </w:r>
    </w:p>
    <w:p>
      <w:pPr>
        <w:spacing w:line="360" w:lineRule="auto"/>
        <w:ind w:firstLine="420" w:firstLineChars="200"/>
        <w:rPr>
          <w:rFonts w:ascii="宋体" w:hAnsi="宋体"/>
          <w:szCs w:val="21"/>
        </w:rPr>
      </w:pPr>
      <w:r>
        <w:rPr>
          <w:rFonts w:hint="eastAsia" w:ascii="宋体" w:hAnsi="宋体"/>
          <w:szCs w:val="21"/>
        </w:rPr>
        <w:t>（3）西式面点实训室</w:t>
      </w:r>
    </w:p>
    <w:p>
      <w:pPr>
        <w:spacing w:line="360" w:lineRule="auto"/>
        <w:ind w:firstLine="420" w:firstLineChars="200"/>
        <w:rPr>
          <w:rFonts w:ascii="宋体" w:hAnsi="宋体"/>
          <w:szCs w:val="21"/>
        </w:rPr>
      </w:pPr>
      <w:r>
        <w:rPr>
          <w:rFonts w:hint="eastAsia" w:ascii="宋体" w:hAnsi="宋体"/>
          <w:szCs w:val="21"/>
        </w:rPr>
        <w:t xml:space="preserve">学生在本实训室进行西式面点制作。学生通过制作西式面点，加强对西式面点器具的运用和操作技艺。 </w:t>
      </w:r>
    </w:p>
    <w:p>
      <w:pPr>
        <w:spacing w:line="360" w:lineRule="auto"/>
        <w:ind w:firstLine="420" w:firstLineChars="200"/>
        <w:rPr>
          <w:rFonts w:ascii="宋体" w:hAnsi="宋体"/>
          <w:szCs w:val="21"/>
        </w:rPr>
      </w:pPr>
      <w:r>
        <w:rPr>
          <w:rFonts w:hint="eastAsia" w:ascii="宋体" w:hAnsi="宋体"/>
          <w:szCs w:val="21"/>
        </w:rPr>
        <w:t>（4）中西点综合实训室</w:t>
      </w:r>
    </w:p>
    <w:p>
      <w:pPr>
        <w:spacing w:line="360" w:lineRule="auto"/>
        <w:ind w:firstLine="420" w:firstLineChars="200"/>
        <w:rPr>
          <w:rFonts w:ascii="宋体" w:hAnsi="宋体"/>
          <w:szCs w:val="21"/>
        </w:rPr>
      </w:pPr>
      <w:r>
        <w:rPr>
          <w:rFonts w:hint="eastAsia" w:ascii="宋体" w:hAnsi="宋体"/>
          <w:szCs w:val="21"/>
        </w:rPr>
        <w:t xml:space="preserve">学生在本实训室上中式面点和西式面点实训课。学生通过对中西面点的认识与了解，进一步提高其学习兴趣及文化品位:通过实践课程中面点品种的练习，使他们熟练的手工操作技能，并能够学会运用先进的设备制作中西式面点。对学生文化品位及综合素质的提升都有一定的作用。 </w:t>
      </w:r>
    </w:p>
    <w:p>
      <w:pPr>
        <w:spacing w:line="360" w:lineRule="auto"/>
        <w:ind w:firstLine="420" w:firstLineChars="200"/>
        <w:rPr>
          <w:rFonts w:ascii="宋体" w:hAnsi="宋体"/>
          <w:szCs w:val="21"/>
        </w:rPr>
      </w:pPr>
      <w:r>
        <w:rPr>
          <w:rFonts w:hint="eastAsia" w:ascii="宋体" w:hAnsi="宋体"/>
          <w:szCs w:val="21"/>
        </w:rPr>
        <w:t>（6）校外实习基地</w:t>
      </w:r>
    </w:p>
    <w:p>
      <w:pPr>
        <w:spacing w:line="360" w:lineRule="auto"/>
        <w:ind w:firstLine="420" w:firstLineChars="200"/>
        <w:rPr>
          <w:rFonts w:ascii="宋体" w:hAnsi="宋体"/>
          <w:szCs w:val="21"/>
        </w:rPr>
      </w:pPr>
      <w:r>
        <w:rPr>
          <w:rFonts w:hint="eastAsia" w:ascii="宋体" w:hAnsi="宋体"/>
          <w:szCs w:val="21"/>
        </w:rPr>
        <w:t xml:space="preserve">目标是建成各高职院校面点专业酒店高技能人才实战训练中心。中西式面点专业校外实习基地建设紧扣区域经济和产业的定位，确定培养目标，有助于学生获取“知识”——必备的基础理论知识和专业理论知识；有助于学生练就“能力”——专业的实际工作基本能力和基本技能；有助于学生造就职业“素质”——良好的职业道德和敬业爱岗精神，同时，也有助于提高人才培养的整体质量和对现代社会环境的适应性。 </w:t>
      </w:r>
    </w:p>
    <w:p>
      <w:pPr>
        <w:spacing w:line="360" w:lineRule="auto"/>
        <w:ind w:firstLine="420" w:firstLineChars="200"/>
        <w:rPr>
          <w:rFonts w:ascii="宋体" w:hAnsi="宋体"/>
          <w:szCs w:val="21"/>
        </w:rPr>
      </w:pPr>
      <w:r>
        <w:rPr>
          <w:rFonts w:hint="eastAsia" w:ascii="宋体" w:hAnsi="宋体"/>
          <w:szCs w:val="21"/>
        </w:rPr>
        <w:t xml:space="preserve">校外实习基地的选择一般要符合以下条件： </w:t>
      </w:r>
    </w:p>
    <w:p>
      <w:pPr>
        <w:spacing w:line="360" w:lineRule="auto"/>
        <w:ind w:firstLine="420" w:firstLineChars="200"/>
        <w:rPr>
          <w:rFonts w:ascii="宋体" w:hAnsi="宋体"/>
          <w:szCs w:val="21"/>
        </w:rPr>
      </w:pPr>
      <w:r>
        <w:rPr>
          <w:rFonts w:hint="eastAsia" w:ascii="宋体" w:hAnsi="宋体" w:cs="宋体"/>
          <w:szCs w:val="21"/>
        </w:rPr>
        <w:t>①</w:t>
      </w:r>
      <w:r>
        <w:rPr>
          <w:rFonts w:hint="eastAsia" w:ascii="宋体" w:hAnsi="宋体"/>
          <w:szCs w:val="21"/>
        </w:rPr>
        <w:t>优先选择长期合作企业。</w:t>
      </w:r>
    </w:p>
    <w:p>
      <w:pPr>
        <w:spacing w:line="360" w:lineRule="auto"/>
        <w:ind w:firstLine="420" w:firstLineChars="200"/>
        <w:rPr>
          <w:rFonts w:ascii="宋体" w:hAnsi="宋体"/>
          <w:szCs w:val="21"/>
        </w:rPr>
      </w:pPr>
      <w:r>
        <w:rPr>
          <w:rFonts w:hint="eastAsia" w:ascii="宋体" w:hAnsi="宋体" w:cs="宋体"/>
          <w:szCs w:val="21"/>
        </w:rPr>
        <w:t>②</w:t>
      </w:r>
      <w:r>
        <w:rPr>
          <w:rFonts w:hint="eastAsia" w:ascii="宋体" w:hAnsi="宋体"/>
          <w:szCs w:val="21"/>
        </w:rPr>
        <w:t>优先选择毕业生集聚企业。</w:t>
      </w:r>
    </w:p>
    <w:p>
      <w:pPr>
        <w:spacing w:line="360" w:lineRule="auto"/>
        <w:ind w:firstLine="420" w:firstLineChars="200"/>
        <w:rPr>
          <w:rFonts w:ascii="宋体" w:hAnsi="宋体"/>
          <w:szCs w:val="21"/>
        </w:rPr>
      </w:pPr>
      <w:r>
        <w:rPr>
          <w:rFonts w:hint="eastAsia" w:ascii="宋体" w:hAnsi="宋体" w:cs="宋体"/>
          <w:szCs w:val="21"/>
        </w:rPr>
        <w:t>③</w:t>
      </w:r>
      <w:r>
        <w:rPr>
          <w:rFonts w:hint="eastAsia" w:ascii="宋体" w:hAnsi="宋体"/>
          <w:szCs w:val="21"/>
        </w:rPr>
        <w:t>优先选择集团化管理企业。</w:t>
      </w:r>
    </w:p>
    <w:p>
      <w:pPr>
        <w:spacing w:line="360" w:lineRule="auto"/>
        <w:ind w:firstLine="420" w:firstLineChars="200"/>
        <w:rPr>
          <w:rFonts w:ascii="宋体" w:hAnsi="宋体"/>
          <w:szCs w:val="21"/>
        </w:rPr>
      </w:pPr>
      <w:r>
        <w:rPr>
          <w:rFonts w:hint="eastAsia" w:ascii="宋体" w:hAnsi="宋体" w:cs="宋体"/>
          <w:szCs w:val="21"/>
        </w:rPr>
        <w:t>④</w:t>
      </w:r>
      <w:r>
        <w:rPr>
          <w:rFonts w:hint="eastAsia" w:ascii="宋体" w:hAnsi="宋体"/>
          <w:szCs w:val="21"/>
        </w:rPr>
        <w:t>优先选择提供实践指导教师和实训工位，能完成培训计划的企业。</w:t>
      </w:r>
    </w:p>
    <w:p>
      <w:pPr>
        <w:spacing w:line="360" w:lineRule="auto"/>
        <w:ind w:firstLine="420" w:firstLineChars="200"/>
        <w:rPr>
          <w:rFonts w:ascii="宋体" w:hAnsi="宋体"/>
          <w:szCs w:val="21"/>
        </w:rPr>
      </w:pPr>
      <w:r>
        <w:rPr>
          <w:rFonts w:hint="eastAsia" w:ascii="宋体" w:hAnsi="宋体" w:cs="宋体"/>
          <w:szCs w:val="21"/>
        </w:rPr>
        <w:t>⑤</w:t>
      </w:r>
      <w:r>
        <w:rPr>
          <w:rFonts w:hint="eastAsia" w:ascii="宋体" w:hAnsi="宋体"/>
          <w:szCs w:val="21"/>
        </w:rPr>
        <w:t>优先选择具有吸纳一定实习规模(20人以上)和提供住宿条件的企业。</w:t>
      </w:r>
    </w:p>
    <w:p>
      <w:pPr>
        <w:spacing w:line="360" w:lineRule="auto"/>
        <w:ind w:firstLine="420" w:firstLineChars="200"/>
        <w:rPr>
          <w:rFonts w:ascii="宋体" w:hAnsi="宋体"/>
          <w:szCs w:val="21"/>
        </w:rPr>
      </w:pPr>
      <w:r>
        <w:rPr>
          <w:rFonts w:hint="eastAsia" w:ascii="宋体" w:hAnsi="宋体" w:cs="宋体"/>
          <w:szCs w:val="21"/>
        </w:rPr>
        <w:t>⑥</w:t>
      </w:r>
      <w:r>
        <w:rPr>
          <w:rFonts w:hint="eastAsia" w:ascii="宋体" w:hAnsi="宋体"/>
          <w:szCs w:val="21"/>
        </w:rPr>
        <w:t>优先选择能满足专业实践教学和技能训练要求，能为学生提供顶岗实训半年以上岗位的企业。</w:t>
      </w:r>
    </w:p>
    <w:p>
      <w:pPr>
        <w:spacing w:line="360" w:lineRule="auto"/>
        <w:ind w:firstLine="420" w:firstLineChars="200"/>
        <w:rPr>
          <w:rFonts w:ascii="宋体" w:hAnsi="宋体"/>
          <w:szCs w:val="21"/>
        </w:rPr>
      </w:pPr>
      <w:r>
        <w:rPr>
          <w:rFonts w:hint="eastAsia" w:ascii="宋体" w:hAnsi="宋体" w:cs="宋体"/>
          <w:szCs w:val="21"/>
        </w:rPr>
        <w:t>⑦</w:t>
      </w:r>
      <w:r>
        <w:rPr>
          <w:rFonts w:hint="eastAsia" w:ascii="宋体" w:hAnsi="宋体"/>
          <w:szCs w:val="21"/>
        </w:rPr>
        <w:t>优先选择经营业绩良好的诚信规范的企业。</w:t>
      </w:r>
    </w:p>
    <w:p>
      <w:pPr>
        <w:spacing w:line="360" w:lineRule="auto"/>
        <w:ind w:firstLine="420" w:firstLineChars="200"/>
        <w:rPr>
          <w:rFonts w:ascii="宋体" w:hAnsi="宋体"/>
          <w:szCs w:val="21"/>
        </w:rPr>
      </w:pPr>
      <w:r>
        <w:rPr>
          <w:rFonts w:hint="eastAsia" w:ascii="宋体" w:hAnsi="宋体"/>
          <w:szCs w:val="21"/>
        </w:rPr>
        <w:t xml:space="preserve">学校在进行校外实习基地建设中要注意:与校外合作单位应有长期合作协议和每次阶段性实习教学的短期合作协议；学生在校外合作单位实训或者实习，必须由学校指派专业教师随班辅导，以确保学生校外实习的安全并保证充分完成实习内教学任务；校外实习教学必须依据教学计划和教学大纲所规定的内容和标准，根据校外合作单位的具体情况和要求，通过校企协商，共同制定出可行性实习教学计划。每次阶段性实训都应有实习课题计划和教学标准；学生实习结束时，必须进行实习考核及鉴定，并作为正式学业成绩记入学生档案。 </w:t>
      </w:r>
    </w:p>
    <w:p>
      <w:pPr>
        <w:pStyle w:val="6"/>
        <w:spacing w:line="360" w:lineRule="auto"/>
        <w:ind w:left="0" w:leftChars="0" w:firstLine="420" w:firstLineChars="200"/>
        <w:rPr>
          <w:rFonts w:ascii="宋体" w:hAnsi="宋体"/>
          <w:szCs w:val="21"/>
        </w:rPr>
      </w:pPr>
      <w:r>
        <w:rPr>
          <w:rFonts w:hint="eastAsia" w:ascii="宋体" w:hAnsi="宋体"/>
          <w:szCs w:val="21"/>
        </w:rPr>
        <w:t>中西面点工艺专业已在茂名、珠三角地区建立十多个校外实习基地，学生每年都可以在合作企业开展单独设置的专业实习和顶岗实习，职业能力和职业素养得到大幅度提高。</w:t>
      </w:r>
      <w:r>
        <w:rPr>
          <w:rFonts w:hint="eastAsia" w:ascii="宋体" w:hAnsi="宋体" w:cs="宋体"/>
          <w:kern w:val="0"/>
          <w:szCs w:val="21"/>
        </w:rPr>
        <w:t>本专业</w:t>
      </w:r>
      <w:r>
        <w:rPr>
          <w:rFonts w:hint="eastAsia" w:ascii="宋体" w:hAnsi="宋体"/>
          <w:szCs w:val="21"/>
        </w:rPr>
        <w:t>校外实习（实训）基地见表九。</w:t>
      </w:r>
    </w:p>
    <w:p>
      <w:pPr>
        <w:jc w:val="center"/>
        <w:rPr>
          <w:rFonts w:ascii="宋体" w:hAnsi="宋体"/>
        </w:rPr>
      </w:pPr>
      <w:r>
        <w:rPr>
          <w:rFonts w:hint="eastAsia" w:ascii="宋体" w:hAnsi="宋体"/>
        </w:rPr>
        <w:t>表九 中西面点工艺专业校外实习（实训）基地表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59"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4722"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合作企业</w:t>
            </w:r>
          </w:p>
        </w:tc>
        <w:tc>
          <w:tcPr>
            <w:tcW w:w="2841"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建立时间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东莞洲际酒店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茂名国际大酒店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茂名浪漫海岸温德姆酒店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茂名高铁站亚朵酒店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维也纳国际酒店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茂名华海酒店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茂名熹龙国际大酒店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2019年</w:t>
            </w:r>
            <w:r>
              <w:rPr>
                <w:rFonts w:asciiTheme="minorEastAsia" w:hAnsiTheme="minorEastAsia" w:eastAsiaTheme="minorEastAsia"/>
              </w:rPr>
              <w:t>6</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阳江华邑酒店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21</w:t>
            </w:r>
            <w:r>
              <w:rPr>
                <w:rFonts w:hint="eastAsia" w:asciiTheme="minorEastAsia" w:hAnsiTheme="minorEastAsia" w:eastAsiaTheme="minorEastAsia"/>
              </w:rPr>
              <w:t>年</w:t>
            </w:r>
            <w:r>
              <w:rPr>
                <w:rFonts w:asciiTheme="minorEastAsia" w:hAnsiTheme="minorEastAsia" w:eastAsiaTheme="minorEastAsia"/>
              </w:rPr>
              <w:t>8</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9</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湛江民大喜来登酒店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21</w:t>
            </w:r>
            <w:r>
              <w:rPr>
                <w:rFonts w:hint="eastAsia" w:asciiTheme="minorEastAsia" w:hAnsiTheme="minorEastAsia" w:eastAsiaTheme="minorEastAsia"/>
              </w:rPr>
              <w:t>年</w:t>
            </w:r>
            <w:r>
              <w:rPr>
                <w:rFonts w:asciiTheme="minorEastAsia" w:hAnsiTheme="minorEastAsia" w:eastAsiaTheme="minorEastAsia"/>
              </w:rPr>
              <w:t>8</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10</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深圳香格里拉酒店</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21</w:t>
            </w:r>
            <w:r>
              <w:rPr>
                <w:rFonts w:hint="eastAsia" w:asciiTheme="minorEastAsia" w:hAnsiTheme="minorEastAsia" w:eastAsiaTheme="minorEastAsia"/>
              </w:rPr>
              <w:t>年</w:t>
            </w:r>
            <w:r>
              <w:rPr>
                <w:rFonts w:asciiTheme="minorEastAsia" w:hAnsiTheme="minorEastAsia" w:eastAsiaTheme="minorEastAsia"/>
              </w:rPr>
              <w:t>8</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11</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深圳拾號餐饮</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21</w:t>
            </w:r>
            <w:r>
              <w:rPr>
                <w:rFonts w:hint="eastAsia" w:asciiTheme="minorEastAsia" w:hAnsiTheme="minorEastAsia" w:eastAsiaTheme="minorEastAsia"/>
              </w:rPr>
              <w:t>年</w:t>
            </w:r>
            <w:r>
              <w:rPr>
                <w:rFonts w:asciiTheme="minorEastAsia" w:hAnsiTheme="minorEastAsia" w:eastAsiaTheme="minorEastAsia"/>
              </w:rPr>
              <w:t>9</w:t>
            </w:r>
            <w:r>
              <w:rPr>
                <w:rFonts w:hint="eastAsia" w:asciiTheme="minorEastAsia" w:hAnsiTheme="minorEastAsia" w:eastAsiaTheme="minorEastAsia"/>
              </w:rPr>
              <w:t>月</w:t>
            </w:r>
          </w:p>
        </w:tc>
      </w:tr>
    </w:tbl>
    <w:p>
      <w:pPr>
        <w:spacing w:before="312" w:beforeLines="100" w:line="360" w:lineRule="auto"/>
        <w:ind w:firstLine="422" w:firstLineChars="200"/>
        <w:rPr>
          <w:rFonts w:ascii="宋体" w:hAnsi="宋体"/>
          <w:b/>
          <w:szCs w:val="21"/>
        </w:rPr>
      </w:pPr>
      <w:r>
        <w:rPr>
          <w:rFonts w:hint="eastAsia" w:ascii="宋体" w:hAnsi="宋体"/>
          <w:b/>
          <w:szCs w:val="21"/>
        </w:rPr>
        <w:t xml:space="preserve">2.信息化条件 </w:t>
      </w:r>
    </w:p>
    <w:p>
      <w:pPr>
        <w:spacing w:line="360" w:lineRule="auto"/>
        <w:ind w:firstLine="420" w:firstLineChars="200"/>
        <w:rPr>
          <w:rFonts w:ascii="宋体" w:hAnsi="宋体"/>
          <w:szCs w:val="21"/>
        </w:rPr>
      </w:pPr>
      <w:r>
        <w:rPr>
          <w:rFonts w:hint="eastAsia" w:ascii="宋体" w:hAnsi="宋体"/>
          <w:szCs w:val="21"/>
        </w:rPr>
        <w:t xml:space="preserve">信息化教学的必要条件:数字化的软、硬件环境是实现信息化教学的必要条件。 </w:t>
      </w:r>
    </w:p>
    <w:p>
      <w:pPr>
        <w:spacing w:line="360" w:lineRule="auto"/>
        <w:ind w:firstLine="420" w:firstLineChars="200"/>
        <w:rPr>
          <w:rFonts w:ascii="宋体" w:hAnsi="宋体"/>
          <w:szCs w:val="21"/>
        </w:rPr>
      </w:pPr>
      <w:r>
        <w:rPr>
          <w:rFonts w:hint="eastAsia" w:ascii="宋体" w:hAnsi="宋体"/>
          <w:szCs w:val="21"/>
        </w:rPr>
        <w:t>信息化教学的资源质量:多媒体课件是目前信息技术支持教育教学的主要形式。此外还有文字、图片、动画、视频等素材等。</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（三）教学资源</w:t>
      </w:r>
      <w:r>
        <w:rPr>
          <w:rFonts w:hint="eastAsia" w:ascii="黑体" w:hAnsi="黑体" w:eastAsia="黑体"/>
          <w:sz w:val="28"/>
          <w:szCs w:val="28"/>
        </w:rPr>
        <w:t xml:space="preserve"> </w:t>
      </w:r>
    </w:p>
    <w:p>
      <w:pPr>
        <w:spacing w:line="360" w:lineRule="auto"/>
        <w:ind w:firstLine="420" w:firstLineChars="200"/>
        <w:rPr>
          <w:rFonts w:ascii="宋体" w:hAnsi="宋体"/>
          <w:szCs w:val="21"/>
        </w:rPr>
      </w:pPr>
      <w:r>
        <w:rPr>
          <w:rFonts w:hint="eastAsia" w:ascii="宋体" w:hAnsi="宋体"/>
          <w:szCs w:val="21"/>
        </w:rPr>
        <w:t xml:space="preserve">本专业结合课程特色，多渠道开展校企合作、工学结合的教材开发，鼓励教师编写课程讲义、开发相关配套课程资源，并在此基础上形成数字化课程同步网站。以课程为单位建立并及时更新课程教学资源库，课程教学资源库内容应包括:教学设计文件、电子教材、教学课件、典型案例、政策法规、音视频文件、动画库、习题与试题库、职业资格考试信息、专业图片库等；配备与专业教学相关的图书资料、电子杂志等相关的学习辅助性资源，建立校园网络信息系统，保证教师与学生可通过校园网络即时获取上述各项教学资源并可通过网络利用教学及实训软件开展备课、学习、实训等教学活动。 </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（四）教学方法</w:t>
      </w:r>
    </w:p>
    <w:p>
      <w:pPr>
        <w:spacing w:line="360" w:lineRule="auto"/>
        <w:ind w:firstLine="420" w:firstLineChars="200"/>
        <w:rPr>
          <w:rFonts w:ascii="宋体" w:hAnsi="宋体"/>
          <w:szCs w:val="21"/>
        </w:rPr>
      </w:pPr>
      <w:r>
        <w:rPr>
          <w:rFonts w:hint="eastAsia" w:ascii="宋体" w:hAnsi="宋体"/>
          <w:szCs w:val="21"/>
        </w:rPr>
        <w:t>本专业以提高教育教学质量为目标，以满足学生成才成长的多元需求为出发点，以学生为中心，重视现代教育教学技术的应用，结合课程特色，进行合作学习、案例教学、情境教学、项目教学、任务驱动、行动导向等多种形式的“做中学、做中教”教学模式，发挥兼职教师在课程教学中的积极作用，充分调动学生的学习积极性和教学互动的参与度。</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（五）学习评价</w:t>
      </w:r>
      <w:r>
        <w:rPr>
          <w:rFonts w:hint="eastAsia" w:ascii="黑体" w:hAnsi="黑体" w:eastAsia="黑体"/>
          <w:sz w:val="28"/>
          <w:szCs w:val="28"/>
        </w:rPr>
        <w:t xml:space="preserve"> </w:t>
      </w:r>
    </w:p>
    <w:p>
      <w:pPr>
        <w:widowControl/>
        <w:shd w:val="clear" w:color="auto" w:fill="FFFFFF"/>
        <w:spacing w:line="360" w:lineRule="auto"/>
        <w:ind w:firstLine="420"/>
        <w:jc w:val="left"/>
        <w:textAlignment w:val="baseline"/>
        <w:rPr>
          <w:rFonts w:ascii="宋体" w:hAnsi="宋体"/>
          <w:szCs w:val="21"/>
        </w:rPr>
      </w:pPr>
      <w:r>
        <w:rPr>
          <w:rFonts w:hint="eastAsia" w:ascii="宋体" w:hAnsi="宋体"/>
          <w:szCs w:val="21"/>
        </w:rPr>
        <w:t>考核内容应体现：能力本位的原则、实践性原则、实用性原则、针对性原则及可持续性原则。</w:t>
      </w:r>
    </w:p>
    <w:p>
      <w:pPr>
        <w:widowControl/>
        <w:shd w:val="clear" w:color="auto" w:fill="FFFFFF"/>
        <w:spacing w:line="360" w:lineRule="auto"/>
        <w:ind w:firstLine="420"/>
        <w:jc w:val="left"/>
        <w:textAlignment w:val="baseline"/>
        <w:rPr>
          <w:rFonts w:ascii="宋体" w:hAnsi="宋体"/>
          <w:szCs w:val="21"/>
        </w:rPr>
      </w:pPr>
      <w:r>
        <w:rPr>
          <w:rFonts w:hint="eastAsia" w:ascii="宋体" w:hAnsi="宋体"/>
          <w:szCs w:val="21"/>
        </w:rPr>
        <w:t>考核方式应体现：“过程考核，综合评价，以人为本”，强调以人为本的整体性评价观。</w:t>
      </w:r>
    </w:p>
    <w:p>
      <w:pPr>
        <w:widowControl/>
        <w:shd w:val="clear" w:color="auto" w:fill="FFFFFF"/>
        <w:spacing w:line="360" w:lineRule="auto"/>
        <w:ind w:firstLine="420"/>
        <w:jc w:val="left"/>
        <w:textAlignment w:val="baseline"/>
        <w:rPr>
          <w:rFonts w:ascii="宋体" w:hAnsi="宋体"/>
          <w:szCs w:val="21"/>
        </w:rPr>
      </w:pPr>
      <w:r>
        <w:rPr>
          <w:rFonts w:hint="eastAsia" w:ascii="宋体" w:hAnsi="宋体"/>
          <w:szCs w:val="21"/>
        </w:rPr>
        <w:t>评价主体应体现：从过去校内评价、学校教师单一评价方式，转向企业评价、社会评价开放式评价。公共文化基础课采用以学生的学习态度、思想品德，以及学生对知识的理解和掌握程度等进行综合评定。要注重平时学习过程的评定。专业基础与专业技术课采用现场口试、实训报告、专题调研报告、实习总结、考勤情况、劳动态度和单位评价等综合评定成绩的考核方法。技能部分必须动手操作，现场考核，由教师、行业专家和能工巧匠参与。形成“过程＋目标”的考核评价方法。两项考核中任何一项不及格，均判为本门课程不及格。</w:t>
      </w:r>
    </w:p>
    <w:p>
      <w:pPr>
        <w:spacing w:line="360" w:lineRule="auto"/>
        <w:ind w:firstLine="420" w:firstLineChars="200"/>
        <w:rPr>
          <w:rFonts w:ascii="宋体" w:hAnsi="宋体"/>
          <w:szCs w:val="21"/>
        </w:rPr>
      </w:pPr>
      <w:r>
        <w:rPr>
          <w:rFonts w:hint="eastAsia" w:ascii="宋体" w:hAnsi="宋体"/>
          <w:szCs w:val="21"/>
        </w:rPr>
        <w:t xml:space="preserve"> 在学校规定的修业年限内，累积5门以上课程不合格，不予毕业。 </w:t>
      </w:r>
    </w:p>
    <w:p>
      <w:pPr>
        <w:adjustRightInd w:val="0"/>
        <w:spacing w:line="360" w:lineRule="auto"/>
        <w:ind w:firstLine="480" w:firstLineChars="200"/>
        <w:outlineLvl w:val="2"/>
        <w:rPr>
          <w:rFonts w:ascii="黑体" w:eastAsia="黑体"/>
          <w:b/>
          <w:bCs/>
          <w:sz w:val="24"/>
        </w:rPr>
      </w:pPr>
      <w:r>
        <w:rPr>
          <w:rFonts w:hint="eastAsia" w:ascii="黑体" w:hAnsi="黑体" w:eastAsia="黑体"/>
          <w:sz w:val="24"/>
        </w:rPr>
        <w:t>（六）质量管理</w:t>
      </w:r>
      <w:r>
        <w:rPr>
          <w:rFonts w:hint="eastAsia" w:ascii="黑体" w:hAnsi="黑体" w:eastAsia="黑体"/>
          <w:sz w:val="28"/>
          <w:szCs w:val="28"/>
        </w:rPr>
        <w:t xml:space="preserve"> </w:t>
      </w:r>
      <w:r>
        <w:rPr>
          <w:rFonts w:hint="eastAsia" w:ascii="黑体" w:eastAsia="黑体"/>
          <w:b/>
          <w:bCs/>
          <w:sz w:val="24"/>
        </w:rPr>
        <w:t xml:space="preserve"> </w:t>
      </w:r>
    </w:p>
    <w:p>
      <w:pPr>
        <w:spacing w:line="360" w:lineRule="auto"/>
        <w:ind w:firstLine="422" w:firstLineChars="200"/>
        <w:rPr>
          <w:rFonts w:ascii="宋体" w:hAnsi="宋体"/>
          <w:b/>
          <w:szCs w:val="21"/>
        </w:rPr>
      </w:pPr>
      <w:r>
        <w:rPr>
          <w:rFonts w:hint="eastAsia" w:ascii="宋体" w:hAnsi="宋体"/>
          <w:b/>
          <w:szCs w:val="21"/>
        </w:rPr>
        <w:t xml:space="preserve">1.教学运行组织管理 </w:t>
      </w:r>
    </w:p>
    <w:p>
      <w:pPr>
        <w:spacing w:line="360" w:lineRule="auto"/>
        <w:ind w:firstLine="420" w:firstLineChars="200"/>
        <w:rPr>
          <w:rFonts w:ascii="宋体" w:hAnsi="宋体"/>
          <w:szCs w:val="21"/>
        </w:rPr>
      </w:pPr>
      <w:r>
        <w:rPr>
          <w:rFonts w:hint="eastAsia" w:ascii="宋体" w:hAnsi="宋体"/>
          <w:szCs w:val="21"/>
        </w:rPr>
        <w:t xml:space="preserve">学校教学实行院(校)系两级管理。由一名副院(校)长分管教学工作，教务处负责完成日常教学管理工作，负责制定教学管理规章制度，开展教学评估和检查，保证教学运行。系部负责日常教学的实施和管理，组织专业教师和教研室完成教学任务和教学建设。 </w:t>
      </w:r>
    </w:p>
    <w:p>
      <w:pPr>
        <w:spacing w:line="360" w:lineRule="auto"/>
        <w:ind w:firstLine="420" w:firstLineChars="200"/>
        <w:rPr>
          <w:rFonts w:ascii="宋体" w:hAnsi="宋体"/>
          <w:szCs w:val="21"/>
        </w:rPr>
      </w:pPr>
      <w:r>
        <w:rPr>
          <w:rFonts w:hint="eastAsia" w:ascii="宋体" w:hAnsi="宋体"/>
          <w:szCs w:val="21"/>
        </w:rPr>
        <w:t xml:space="preserve">成立以系主任为负责人，由教学主任、专业带头人、骨干教师和企业领导及专家组成的校企合作专业建设委员会，负责指导专业的建设、教学制度的制定和审核，并监控教学过程，评价人才培养质量；系部负责日常教学的管理和监控；合作企业负责学生顶岗实习、现场教学的管理和监控。 </w:t>
      </w:r>
    </w:p>
    <w:p>
      <w:pPr>
        <w:spacing w:line="360" w:lineRule="auto"/>
        <w:ind w:firstLine="422" w:firstLineChars="200"/>
        <w:rPr>
          <w:rFonts w:ascii="宋体" w:hAnsi="宋体"/>
          <w:b/>
          <w:szCs w:val="21"/>
        </w:rPr>
      </w:pPr>
      <w:r>
        <w:rPr>
          <w:rFonts w:hint="eastAsia" w:ascii="宋体" w:hAnsi="宋体"/>
          <w:b/>
          <w:szCs w:val="21"/>
        </w:rPr>
        <w:t xml:space="preserve">2.教学质量监控评价 </w:t>
      </w:r>
    </w:p>
    <w:p>
      <w:pPr>
        <w:spacing w:line="360" w:lineRule="auto"/>
        <w:ind w:firstLine="420" w:firstLineChars="200"/>
        <w:rPr>
          <w:rFonts w:ascii="宋体" w:hAnsi="宋体"/>
          <w:szCs w:val="21"/>
        </w:rPr>
      </w:pPr>
      <w:r>
        <w:rPr>
          <w:rFonts w:hint="eastAsia" w:ascii="宋体" w:hAnsi="宋体"/>
          <w:szCs w:val="21"/>
        </w:rPr>
        <w:t xml:space="preserve">在日常教学管理中形成教学检查制度、教学质量分析制度、教学信息反馈制度和“学生评教、教师评学、同行评课、专家评质、社会评人”的五评制度。发挥专业建设委员会的积极作用，校企合作制定人才培养方案、工学结合课程标准和各教学环节工作规范性文件，使教学管理和质量监控有章可循、有据可依。建立企业参与的校系两级教学质量监控与评价体系。根据顶岗实习情况，与企业领导和指导教师共同制定和执行顶岗实习管理和考核体系，加强对人才培养过程的管理；为保证顶岗实习的质量，制定顶岗实习管理制度、考核体系、兼职教师管理制度，完善校企双方质量保障制度。 </w:t>
      </w:r>
    </w:p>
    <w:p>
      <w:pPr>
        <w:spacing w:line="360" w:lineRule="auto"/>
        <w:ind w:firstLine="422" w:firstLineChars="200"/>
        <w:rPr>
          <w:rFonts w:ascii="宋体" w:hAnsi="宋体"/>
          <w:b/>
          <w:szCs w:val="21"/>
        </w:rPr>
      </w:pPr>
      <w:r>
        <w:rPr>
          <w:rFonts w:hint="eastAsia" w:ascii="宋体" w:hAnsi="宋体"/>
          <w:b/>
          <w:szCs w:val="21"/>
        </w:rPr>
        <w:t xml:space="preserve">3.教学管理制度 </w:t>
      </w:r>
    </w:p>
    <w:p>
      <w:pPr>
        <w:spacing w:line="360" w:lineRule="auto"/>
        <w:ind w:firstLine="420" w:firstLineChars="200"/>
        <w:rPr>
          <w:rFonts w:ascii="宋体" w:hAnsi="宋体"/>
          <w:szCs w:val="21"/>
        </w:rPr>
      </w:pPr>
      <w:r>
        <w:rPr>
          <w:rFonts w:hint="eastAsia" w:ascii="宋体" w:hAnsi="宋体"/>
          <w:szCs w:val="21"/>
        </w:rPr>
        <w:t xml:space="preserve">建立与工学结合相适应的校企双方共同参与管理的制度，形成校企共管制度化、规范化、可操作的管理办法。在实施人才培养计划和教学管理的过程中，针对校企联合育人出现的问题，根据企业、学生的要求，实施人才培养的柔性管理。 </w:t>
      </w:r>
    </w:p>
    <w:p>
      <w:pPr>
        <w:spacing w:line="360" w:lineRule="auto"/>
        <w:ind w:firstLine="420" w:firstLineChars="200"/>
        <w:rPr>
          <w:rFonts w:ascii="宋体" w:hAnsi="宋体"/>
          <w:szCs w:val="21"/>
        </w:rPr>
      </w:pPr>
      <w:r>
        <w:rPr>
          <w:rFonts w:hint="eastAsia" w:ascii="宋体" w:hAnsi="宋体"/>
          <w:szCs w:val="21"/>
        </w:rPr>
        <w:t xml:space="preserve">（1）企业的订单培养 </w:t>
      </w:r>
    </w:p>
    <w:p>
      <w:pPr>
        <w:spacing w:line="360" w:lineRule="auto"/>
        <w:ind w:firstLine="420" w:firstLineChars="200"/>
        <w:rPr>
          <w:rFonts w:ascii="宋体" w:hAnsi="宋体"/>
          <w:szCs w:val="21"/>
        </w:rPr>
      </w:pPr>
      <w:r>
        <w:rPr>
          <w:rFonts w:hint="eastAsia" w:ascii="宋体" w:hAnsi="宋体"/>
          <w:szCs w:val="21"/>
        </w:rPr>
        <w:t xml:space="preserve">根据就业单位的要求，对订单班，可以根据企业的要求，校企共同制定培养方案，灵活调整教学计划，设置适合企业所需人才规格要求的课程，并改革相应课程的教学内容、教学方法、教学模式和考核方法。 </w:t>
      </w:r>
    </w:p>
    <w:p>
      <w:pPr>
        <w:spacing w:line="360" w:lineRule="auto"/>
        <w:ind w:firstLine="420" w:firstLineChars="200"/>
        <w:rPr>
          <w:rFonts w:ascii="宋体" w:hAnsi="宋体"/>
          <w:szCs w:val="21"/>
        </w:rPr>
      </w:pPr>
      <w:r>
        <w:rPr>
          <w:rFonts w:hint="eastAsia" w:ascii="宋体" w:hAnsi="宋体"/>
          <w:szCs w:val="21"/>
        </w:rPr>
        <w:t xml:space="preserve">（2）实行弹性学制 </w:t>
      </w:r>
    </w:p>
    <w:p>
      <w:pPr>
        <w:spacing w:line="360" w:lineRule="auto"/>
        <w:ind w:firstLine="420" w:firstLineChars="200"/>
        <w:rPr>
          <w:rFonts w:ascii="宋体" w:hAnsi="宋体"/>
          <w:szCs w:val="21"/>
        </w:rPr>
      </w:pPr>
      <w:r>
        <w:rPr>
          <w:rFonts w:hint="eastAsia" w:ascii="宋体" w:hAnsi="宋体"/>
          <w:szCs w:val="21"/>
        </w:rPr>
        <w:t xml:space="preserve">允许学生由于服兵役、进入社会实践等原因暂时中断学习，学分制的建立体现了修业年限的弹性、课程的自选性。学生学分的修业年限最长可延长至5年。 </w:t>
      </w:r>
    </w:p>
    <w:p>
      <w:pPr>
        <w:spacing w:line="360" w:lineRule="auto"/>
        <w:ind w:firstLine="420" w:firstLineChars="200"/>
        <w:rPr>
          <w:rFonts w:ascii="宋体" w:hAnsi="宋体"/>
          <w:szCs w:val="21"/>
        </w:rPr>
      </w:pPr>
      <w:r>
        <w:rPr>
          <w:rFonts w:hint="eastAsia" w:ascii="宋体" w:hAnsi="宋体"/>
          <w:szCs w:val="21"/>
        </w:rPr>
        <w:t xml:space="preserve">（3）对于顶岗实习的柔性管理 </w:t>
      </w:r>
    </w:p>
    <w:p>
      <w:pPr>
        <w:spacing w:line="360" w:lineRule="auto"/>
        <w:ind w:firstLine="420" w:firstLineChars="200"/>
        <w:rPr>
          <w:rFonts w:ascii="宋体" w:hAnsi="宋体"/>
          <w:szCs w:val="21"/>
        </w:rPr>
      </w:pPr>
      <w:r>
        <w:rPr>
          <w:rFonts w:hint="eastAsia" w:ascii="宋体" w:hAnsi="宋体"/>
          <w:szCs w:val="21"/>
        </w:rPr>
        <w:t>学生顶岗实习的管理按照学院(校)、系学生顶岗实习管理办法执行，由企业兼职教师与学校教师按照毕业实践课程标准</w:t>
      </w:r>
      <w:r>
        <w:rPr>
          <w:rFonts w:hint="eastAsia"/>
        </w:rPr>
        <w:t>，</w:t>
      </w:r>
      <w:r>
        <w:rPr>
          <w:rFonts w:hint="eastAsia" w:ascii="宋体" w:hAnsi="宋体"/>
          <w:szCs w:val="21"/>
        </w:rPr>
        <w:t xml:space="preserve">在学校和企业共同管理、指导、考核下取得相应学分。 </w:t>
      </w:r>
    </w:p>
    <w:p>
      <w:pPr>
        <w:spacing w:line="360" w:lineRule="auto"/>
        <w:ind w:firstLine="420" w:firstLineChars="200"/>
        <w:rPr>
          <w:rFonts w:ascii="宋体" w:hAnsi="宋体"/>
          <w:szCs w:val="21"/>
        </w:rPr>
      </w:pPr>
      <w:r>
        <w:rPr>
          <w:rFonts w:hint="eastAsia" w:ascii="宋体" w:hAnsi="宋体"/>
          <w:szCs w:val="21"/>
        </w:rPr>
        <w:t xml:space="preserve">顶岗实习单位可灵活选择。在毕业实践环节，学生既可前往就业单位实习，也可去专业安排的校外基地进行实习，或自行联系实习企业。只要企业符合专业规定的实习教学条件要求，都可以去实习。 </w:t>
      </w:r>
    </w:p>
    <w:p>
      <w:pPr>
        <w:spacing w:line="360" w:lineRule="auto"/>
        <w:ind w:firstLine="420" w:firstLineChars="200"/>
        <w:rPr>
          <w:rFonts w:ascii="宋体" w:hAnsi="宋体"/>
          <w:szCs w:val="21"/>
        </w:rPr>
      </w:pPr>
      <w:r>
        <w:rPr>
          <w:rFonts w:hint="eastAsia" w:ascii="宋体" w:hAnsi="宋体"/>
          <w:szCs w:val="21"/>
        </w:rPr>
        <w:t xml:space="preserve">因就业单位的实际需求，针对部分学生提前前往就业单位实习或从事非本专业实习内容的，实行“学分替换”制度，学生在企业参加与专业相关或不相关的岗前培训，并考核合格，经系主任批准，可用企业考核成绩替换相应专业课程学分。 </w:t>
      </w:r>
    </w:p>
    <w:p>
      <w:pPr>
        <w:spacing w:line="360" w:lineRule="auto"/>
        <w:ind w:firstLine="560" w:firstLineChars="200"/>
        <w:outlineLvl w:val="1"/>
        <w:rPr>
          <w:rFonts w:ascii="宋体" w:hAnsi="宋体"/>
          <w:szCs w:val="21"/>
        </w:rPr>
      </w:pPr>
      <w:r>
        <w:rPr>
          <w:rFonts w:hint="eastAsia" w:eastAsia="黑体"/>
          <w:sz w:val="28"/>
          <w:szCs w:val="28"/>
        </w:rPr>
        <w:t>九、</w:t>
      </w:r>
      <w:r>
        <w:rPr>
          <w:rFonts w:eastAsia="黑体"/>
          <w:sz w:val="28"/>
          <w:szCs w:val="28"/>
        </w:rPr>
        <w:t>毕业要求</w:t>
      </w:r>
    </w:p>
    <w:p>
      <w:pPr>
        <w:spacing w:line="360" w:lineRule="auto"/>
        <w:ind w:firstLine="420" w:firstLineChars="200"/>
        <w:rPr>
          <w:rFonts w:ascii="宋体" w:hAnsi="宋体"/>
          <w:szCs w:val="21"/>
        </w:rPr>
      </w:pPr>
      <w:r>
        <w:rPr>
          <w:rFonts w:hint="eastAsia" w:ascii="宋体" w:hAnsi="宋体"/>
          <w:szCs w:val="21"/>
        </w:rPr>
        <w:t xml:space="preserve">本专业的学生必须修满130分才能获得毕业资格。 </w:t>
      </w:r>
    </w:p>
    <w:p>
      <w:pPr>
        <w:spacing w:line="360" w:lineRule="auto"/>
        <w:ind w:firstLine="420" w:firstLineChars="200"/>
        <w:rPr>
          <w:rFonts w:ascii="宋体" w:hAnsi="宋体"/>
          <w:b/>
          <w:bCs/>
          <w:szCs w:val="21"/>
        </w:rPr>
      </w:pPr>
      <w:r>
        <w:rPr>
          <w:rFonts w:hint="eastAsia" w:ascii="宋体" w:hAnsi="宋体"/>
          <w:szCs w:val="21"/>
        </w:rPr>
        <w:t xml:space="preserve">中西面点工艺专业学生毕业前推荐考取表十职业资格证书中的一项: </w:t>
      </w:r>
    </w:p>
    <w:p>
      <w:pPr>
        <w:jc w:val="center"/>
        <w:rPr>
          <w:rFonts w:ascii="宋体" w:hAnsi="宋体"/>
        </w:rPr>
      </w:pPr>
      <w:r>
        <w:rPr>
          <w:rFonts w:hint="eastAsia" w:ascii="宋体" w:hAnsi="宋体"/>
        </w:rPr>
        <w:t>表十 中西面点工艺专业相关技能证书一览表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440"/>
        <w:gridCol w:w="14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b/>
                <w:szCs w:val="21"/>
              </w:rPr>
            </w:pPr>
            <w:r>
              <w:rPr>
                <w:rFonts w:hint="eastAsia" w:ascii="宋体" w:hAnsi="宋体" w:cs="宋体"/>
                <w:b/>
                <w:szCs w:val="21"/>
              </w:rPr>
              <w:t>证书名称</w:t>
            </w:r>
          </w:p>
        </w:tc>
        <w:tc>
          <w:tcPr>
            <w:tcW w:w="1440" w:type="dxa"/>
            <w:vAlign w:val="center"/>
          </w:tcPr>
          <w:p>
            <w:pPr>
              <w:jc w:val="center"/>
              <w:rPr>
                <w:rFonts w:ascii="宋体" w:hAnsi="宋体" w:cs="宋体"/>
                <w:b/>
                <w:szCs w:val="21"/>
              </w:rPr>
            </w:pPr>
            <w:r>
              <w:rPr>
                <w:rFonts w:hint="eastAsia" w:ascii="宋体" w:hAnsi="宋体" w:cs="宋体"/>
                <w:b/>
                <w:szCs w:val="21"/>
              </w:rPr>
              <w:t>报名时间</w:t>
            </w:r>
          </w:p>
        </w:tc>
        <w:tc>
          <w:tcPr>
            <w:tcW w:w="1475" w:type="dxa"/>
            <w:vAlign w:val="center"/>
          </w:tcPr>
          <w:p>
            <w:pPr>
              <w:jc w:val="center"/>
              <w:rPr>
                <w:rFonts w:ascii="宋体" w:hAnsi="宋体" w:cs="宋体"/>
                <w:b/>
                <w:szCs w:val="21"/>
              </w:rPr>
            </w:pPr>
            <w:r>
              <w:rPr>
                <w:rFonts w:hint="eastAsia" w:ascii="宋体" w:hAnsi="宋体" w:cs="宋体"/>
                <w:b/>
                <w:szCs w:val="21"/>
              </w:rPr>
              <w:t>考证时间</w:t>
            </w:r>
          </w:p>
        </w:tc>
        <w:tc>
          <w:tcPr>
            <w:tcW w:w="3311" w:type="dxa"/>
            <w:vAlign w:val="center"/>
          </w:tcPr>
          <w:p>
            <w:pPr>
              <w:jc w:val="center"/>
              <w:rPr>
                <w:rFonts w:ascii="宋体" w:hAnsi="宋体" w:cs="宋体"/>
                <w:b/>
                <w:szCs w:val="21"/>
              </w:rPr>
            </w:pPr>
            <w:r>
              <w:rPr>
                <w:rFonts w:hint="eastAsia" w:ascii="宋体" w:hAnsi="宋体" w:cs="宋体"/>
                <w:b/>
                <w:szCs w:val="21"/>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szCs w:val="21"/>
              </w:rPr>
            </w:pPr>
            <w:r>
              <w:rPr>
                <w:rFonts w:hint="eastAsia" w:ascii="宋体" w:hAnsi="宋体" w:cs="宋体"/>
                <w:szCs w:val="21"/>
              </w:rPr>
              <w:t>全国计算机等级考试</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每年6、12月</w:t>
            </w:r>
          </w:p>
        </w:tc>
        <w:tc>
          <w:tcPr>
            <w:tcW w:w="3311" w:type="dxa"/>
            <w:vAlign w:val="center"/>
          </w:tcPr>
          <w:p>
            <w:pPr>
              <w:jc w:val="center"/>
              <w:rPr>
                <w:rFonts w:ascii="宋体" w:hAnsi="宋体" w:cs="宋体"/>
                <w:szCs w:val="21"/>
              </w:rPr>
            </w:pPr>
            <w:r>
              <w:rPr>
                <w:rFonts w:hint="eastAsia" w:ascii="宋体" w:hAnsi="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szCs w:val="21"/>
              </w:rPr>
            </w:pPr>
            <w:r>
              <w:rPr>
                <w:rFonts w:hint="eastAsia" w:ascii="宋体" w:hAnsi="宋体" w:cs="宋体"/>
                <w:szCs w:val="21"/>
              </w:rPr>
              <w:t>全国大学英语四、六级考试(CET)</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每年6、12月</w:t>
            </w:r>
          </w:p>
        </w:tc>
        <w:tc>
          <w:tcPr>
            <w:tcW w:w="3311" w:type="dxa"/>
            <w:vAlign w:val="center"/>
          </w:tcPr>
          <w:p>
            <w:pPr>
              <w:jc w:val="center"/>
              <w:rPr>
                <w:rFonts w:ascii="宋体" w:hAnsi="宋体" w:cs="宋体"/>
                <w:szCs w:val="21"/>
              </w:rPr>
            </w:pPr>
            <w:r>
              <w:rPr>
                <w:rFonts w:hint="eastAsia" w:ascii="宋体" w:hAnsi="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szCs w:val="21"/>
              </w:rPr>
            </w:pPr>
            <w:r>
              <w:rPr>
                <w:rFonts w:hint="eastAsia" w:ascii="宋体" w:hAnsi="宋体" w:cs="宋体"/>
                <w:szCs w:val="21"/>
              </w:rPr>
              <w:t>西式面点师</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cs="宋体"/>
                <w:szCs w:val="21"/>
              </w:rPr>
            </w:pPr>
            <w:r>
              <w:rPr>
                <w:rFonts w:hint="eastAsia" w:ascii="宋体" w:hAnsi="宋体" w:cs="宋体"/>
                <w:szCs w:val="21"/>
              </w:rPr>
              <w:t>中式面点师</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bl>
    <w:p>
      <w:pPr>
        <w:pStyle w:val="55"/>
        <w:spacing w:before="156" w:beforeLines="50"/>
        <w:ind w:firstLine="420"/>
        <w:rPr>
          <w:rFonts w:ascii="宋体" w:eastAsia="宋体"/>
          <w:szCs w:val="21"/>
        </w:rPr>
      </w:pPr>
      <w:r>
        <w:rPr>
          <w:rFonts w:hint="eastAsia" w:ascii="宋体" w:eastAsia="宋体"/>
          <w:sz w:val="21"/>
          <w:szCs w:val="21"/>
        </w:rPr>
        <w:t>备注：要求根据本人规划的就业方向考取上述职业资格证书之一</w:t>
      </w:r>
    </w:p>
    <w:p>
      <w:pPr>
        <w:spacing w:line="360" w:lineRule="auto"/>
        <w:ind w:firstLine="560" w:firstLineChars="200"/>
        <w:rPr>
          <w:rFonts w:ascii="黑体" w:hAnsi="黑体" w:eastAsia="黑体"/>
          <w:b/>
          <w:sz w:val="30"/>
          <w:szCs w:val="30"/>
        </w:rPr>
      </w:pPr>
      <w:r>
        <w:rPr>
          <w:rFonts w:hint="eastAsia" w:eastAsia="黑体"/>
          <w:sz w:val="28"/>
          <w:szCs w:val="28"/>
        </w:rPr>
        <w:t>十、继续专业学习和深造建议</w:t>
      </w:r>
      <w:r>
        <w:rPr>
          <w:rFonts w:hint="eastAsia" w:ascii="黑体" w:hAnsi="黑体" w:eastAsia="黑体"/>
          <w:b/>
          <w:sz w:val="30"/>
          <w:szCs w:val="30"/>
        </w:rPr>
        <w:t xml:space="preserve"> </w:t>
      </w:r>
    </w:p>
    <w:p>
      <w:pPr>
        <w:spacing w:line="360" w:lineRule="auto"/>
        <w:ind w:firstLine="420" w:firstLineChars="200"/>
        <w:rPr>
          <w:rFonts w:ascii="宋体" w:hAnsi="宋体"/>
          <w:szCs w:val="21"/>
        </w:rPr>
      </w:pPr>
      <w:r>
        <w:rPr>
          <w:rFonts w:hint="eastAsia" w:ascii="宋体" w:hAnsi="宋体"/>
          <w:szCs w:val="21"/>
        </w:rPr>
        <w:t xml:space="preserve">学生继续专业学习深造的途径有： </w:t>
      </w:r>
    </w:p>
    <w:p>
      <w:pPr>
        <w:spacing w:line="360" w:lineRule="auto"/>
        <w:ind w:firstLine="420" w:firstLineChars="200"/>
        <w:rPr>
          <w:rFonts w:ascii="宋体" w:hAnsi="宋体"/>
          <w:szCs w:val="21"/>
        </w:rPr>
      </w:pPr>
      <w:r>
        <w:rPr>
          <w:rFonts w:hint="eastAsia" w:ascii="宋体" w:hAnsi="宋体"/>
          <w:szCs w:val="21"/>
        </w:rPr>
        <w:t xml:space="preserve">1.参加相关专业的高等自学考试(以下简称高自考)的学习高自考的学习主要采取业余时间自主学习的方式，可以于在校期间完成。 </w:t>
      </w:r>
    </w:p>
    <w:p>
      <w:pPr>
        <w:spacing w:line="360" w:lineRule="auto"/>
        <w:ind w:firstLine="420" w:firstLineChars="200"/>
        <w:rPr>
          <w:rFonts w:ascii="宋体" w:hAnsi="宋体"/>
          <w:szCs w:val="21"/>
        </w:rPr>
      </w:pPr>
      <w:r>
        <w:rPr>
          <w:rFonts w:hint="eastAsia" w:ascii="宋体" w:hAnsi="宋体"/>
          <w:szCs w:val="21"/>
        </w:rPr>
        <w:t xml:space="preserve">2.参加专升本考试升至本科院校继续学习深造或参加函授、远程教育本科学习。 </w:t>
      </w:r>
    </w:p>
    <w:p>
      <w:pPr>
        <w:spacing w:line="360" w:lineRule="auto"/>
        <w:ind w:firstLine="420" w:firstLineChars="200"/>
        <w:rPr>
          <w:rFonts w:ascii="宋体" w:hAnsi="宋体"/>
          <w:szCs w:val="21"/>
        </w:rPr>
      </w:pPr>
      <w:r>
        <w:rPr>
          <w:rFonts w:hint="eastAsia" w:ascii="宋体" w:hAnsi="宋体"/>
          <w:szCs w:val="21"/>
        </w:rPr>
        <w:t xml:space="preserve">3.可考取专业相关高级工、技师技能证书。 </w:t>
      </w:r>
    </w:p>
    <w:p>
      <w:pPr>
        <w:spacing w:line="360" w:lineRule="auto"/>
        <w:ind w:firstLine="420" w:firstLineChars="200"/>
        <w:rPr>
          <w:rFonts w:ascii="宋体" w:hAnsi="宋体"/>
          <w:szCs w:val="21"/>
        </w:rPr>
      </w:pPr>
      <w:r>
        <w:rPr>
          <w:rFonts w:hint="eastAsia" w:ascii="宋体" w:hAnsi="宋体"/>
          <w:szCs w:val="21"/>
        </w:rPr>
        <w:t xml:space="preserve">4.可通过有资质的中外办学合作项目或者个人通过考试，申请出国深造或出国进修和培训。 </w:t>
      </w:r>
    </w:p>
    <w:p>
      <w:pPr>
        <w:spacing w:line="360" w:lineRule="auto"/>
        <w:ind w:firstLine="480" w:firstLineChars="200"/>
        <w:outlineLvl w:val="1"/>
        <w:rPr>
          <w:rFonts w:eastAsia="黑体"/>
          <w:sz w:val="28"/>
          <w:szCs w:val="28"/>
        </w:rPr>
      </w:pPr>
      <w:r>
        <w:rPr>
          <w:rFonts w:hint="eastAsia"/>
          <w:sz w:val="24"/>
        </w:rPr>
        <w:t xml:space="preserve"> </w:t>
      </w:r>
      <w:r>
        <w:rPr>
          <w:rFonts w:hint="eastAsia" w:eastAsia="黑体"/>
          <w:sz w:val="28"/>
          <w:szCs w:val="28"/>
        </w:rPr>
        <w:t>十一、学分转换规定</w:t>
      </w:r>
    </w:p>
    <w:p>
      <w:pPr>
        <w:spacing w:line="360" w:lineRule="auto"/>
        <w:ind w:firstLine="420" w:firstLineChars="200"/>
        <w:rPr>
          <w:rFonts w:ascii="宋体" w:hAnsi="宋体" w:cs="微软雅黑"/>
          <w:szCs w:val="21"/>
        </w:rPr>
      </w:pPr>
      <w:r>
        <w:rPr>
          <w:rFonts w:hint="eastAsia" w:ascii="宋体" w:hAnsi="宋体" w:cs="微软雅黑"/>
          <w:szCs w:val="21"/>
        </w:rPr>
        <w:t>执行学校有关文件规定。</w:t>
      </w:r>
    </w:p>
    <w:sectPr>
      <w:footerReference r:id="rId5" w:type="default"/>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0" distR="0" simplePos="0" relativeHeight="251659264" behindDoc="0" locked="0" layoutInCell="1" allowOverlap="1">
              <wp:simplePos x="0" y="0"/>
              <wp:positionH relativeFrom="margin">
                <wp:posOffset>2851150</wp:posOffset>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left:224.5pt;margin-top:0pt;height:144pt;width:144pt;mso-position-horizontal-relative:margin;mso-wrap-style:none;z-index:251659264;mso-width-relative:page;mso-height-relative:page;" filled="f" stroked="f" coordsize="21600,21600" o:gfxdata="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YS471gAAAAgBAAAPAAAAAAAAAAEAIAAAACIAAABkcnMvZG93bnJldi54&#10;bWxQSwECFAAUAAAACACHTuJAOMHNE8MBAACHAwAADgAAAAAAAAABACAAAAAlAQAAZHJzL2Uyb0Rv&#10;Yy54bWxQSwUGAAAAAAYABgBZAQAAW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rect>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MmRmOGVhNmEwZjliMzgxN2RhYzgzMGZjNDFhYmIifQ=="/>
  </w:docVars>
  <w:rsids>
    <w:rsidRoot w:val="0004235E"/>
    <w:rsid w:val="000154B9"/>
    <w:rsid w:val="0004235E"/>
    <w:rsid w:val="001F3EF4"/>
    <w:rsid w:val="002D7930"/>
    <w:rsid w:val="00310B12"/>
    <w:rsid w:val="003F1B97"/>
    <w:rsid w:val="005A1E01"/>
    <w:rsid w:val="006E14AC"/>
    <w:rsid w:val="00821FDD"/>
    <w:rsid w:val="00FB5A5E"/>
    <w:rsid w:val="1926182F"/>
    <w:rsid w:val="19332DAF"/>
    <w:rsid w:val="5901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spacing w:line="240" w:lineRule="exact"/>
    </w:pPr>
    <w:rPr>
      <w:rFonts w:ascii="Calibri" w:hAnsi="Calibri" w:cs="宋体"/>
      <w:sz w:val="24"/>
    </w:rPr>
  </w:style>
  <w:style w:type="paragraph" w:styleId="4">
    <w:name w:val="Body Text Indent"/>
    <w:basedOn w:val="1"/>
    <w:link w:val="24"/>
    <w:qFormat/>
    <w:uiPriority w:val="0"/>
    <w:pPr>
      <w:spacing w:line="360" w:lineRule="auto"/>
      <w:ind w:firstLine="480"/>
    </w:pPr>
    <w:rPr>
      <w:rFonts w:ascii="Calibri" w:hAnsi="Calibri" w:cs="宋体"/>
      <w:szCs w:val="22"/>
    </w:rPr>
  </w:style>
  <w:style w:type="paragraph" w:styleId="5">
    <w:name w:val="Plain Text"/>
    <w:basedOn w:val="1"/>
    <w:link w:val="25"/>
    <w:qFormat/>
    <w:uiPriority w:val="0"/>
    <w:rPr>
      <w:rFonts w:ascii="Calibri" w:hAnsi="Calibri" w:cs="宋体"/>
      <w:szCs w:val="22"/>
    </w:rPr>
  </w:style>
  <w:style w:type="paragraph" w:styleId="6">
    <w:name w:val="Date"/>
    <w:basedOn w:val="1"/>
    <w:next w:val="1"/>
    <w:link w:val="26"/>
    <w:qFormat/>
    <w:uiPriority w:val="0"/>
    <w:pPr>
      <w:ind w:left="100" w:leftChars="2500"/>
    </w:pPr>
  </w:style>
  <w:style w:type="paragraph" w:styleId="7">
    <w:name w:val="Body Text Indent 2"/>
    <w:basedOn w:val="1"/>
    <w:link w:val="27"/>
    <w:qFormat/>
    <w:uiPriority w:val="99"/>
    <w:pPr>
      <w:spacing w:after="120" w:line="480" w:lineRule="auto"/>
      <w:ind w:left="420" w:leftChars="200"/>
    </w:pPr>
  </w:style>
  <w:style w:type="paragraph" w:styleId="8">
    <w:name w:val="Balloon Text"/>
    <w:basedOn w:val="1"/>
    <w:link w:val="28"/>
    <w:qFormat/>
    <w:uiPriority w:val="0"/>
    <w:rPr>
      <w:sz w:val="18"/>
      <w:szCs w:val="18"/>
    </w:rPr>
  </w:style>
  <w:style w:type="paragraph" w:styleId="9">
    <w:name w:val="footer"/>
    <w:basedOn w:val="1"/>
    <w:link w:val="29"/>
    <w:qFormat/>
    <w:uiPriority w:val="0"/>
    <w:pPr>
      <w:tabs>
        <w:tab w:val="center" w:pos="4153"/>
        <w:tab w:val="right" w:pos="8306"/>
      </w:tabs>
      <w:snapToGrid w:val="0"/>
      <w:jc w:val="left"/>
    </w:pPr>
    <w:rPr>
      <w:rFonts w:ascii="Calibri" w:hAnsi="Calibri" w:cs="宋体"/>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11">
    <w:name w:val="Body Text 2"/>
    <w:basedOn w:val="1"/>
    <w:link w:val="31"/>
    <w:qFormat/>
    <w:uiPriority w:val="0"/>
    <w:pPr>
      <w:spacing w:line="220" w:lineRule="exact"/>
      <w:jc w:val="center"/>
    </w:pPr>
    <w:rPr>
      <w:rFonts w:ascii="Calibri" w:hAnsi="Calibri" w:cs="宋体"/>
    </w:rPr>
  </w:style>
  <w:style w:type="paragraph" w:styleId="12">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3"/>
    <w:qFormat/>
    <w:uiPriority w:val="0"/>
    <w:pPr>
      <w:spacing w:before="240" w:after="60"/>
      <w:jc w:val="center"/>
      <w:outlineLvl w:val="0"/>
    </w:pPr>
    <w:rPr>
      <w:rFonts w:ascii="Cambria" w:hAnsi="Cambria"/>
      <w:b/>
      <w:bCs/>
      <w:sz w:val="32"/>
      <w:szCs w:val="3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basedOn w:val="17"/>
    <w:qFormat/>
    <w:uiPriority w:val="99"/>
    <w:rPr>
      <w:color w:val="800080"/>
      <w:u w:val="single"/>
    </w:rPr>
  </w:style>
  <w:style w:type="character" w:styleId="21">
    <w:name w:val="Hyperlink"/>
    <w:qFormat/>
    <w:uiPriority w:val="99"/>
    <w:rPr>
      <w:rFonts w:cs="Times New Roman"/>
      <w:color w:val="0000FF"/>
      <w:u w:val="single"/>
    </w:rPr>
  </w:style>
  <w:style w:type="character" w:customStyle="1" w:styleId="22">
    <w:name w:val="标题 2 Char"/>
    <w:basedOn w:val="17"/>
    <w:link w:val="2"/>
    <w:qFormat/>
    <w:uiPriority w:val="0"/>
    <w:rPr>
      <w:rFonts w:ascii="Arial" w:hAnsi="Arial" w:eastAsia="黑体" w:cs="Times New Roman"/>
      <w:b/>
      <w:bCs/>
      <w:sz w:val="32"/>
      <w:szCs w:val="32"/>
    </w:rPr>
  </w:style>
  <w:style w:type="character" w:customStyle="1" w:styleId="23">
    <w:name w:val="正文文本 Char1"/>
    <w:basedOn w:val="17"/>
    <w:link w:val="3"/>
    <w:qFormat/>
    <w:uiPriority w:val="99"/>
    <w:rPr>
      <w:rFonts w:ascii="Times New Roman" w:hAnsi="Times New Roman" w:eastAsia="宋体" w:cs="Times New Roman"/>
      <w:szCs w:val="24"/>
    </w:rPr>
  </w:style>
  <w:style w:type="character" w:customStyle="1" w:styleId="24">
    <w:name w:val="正文文本缩进 Char2"/>
    <w:basedOn w:val="17"/>
    <w:link w:val="4"/>
    <w:qFormat/>
    <w:uiPriority w:val="99"/>
    <w:rPr>
      <w:rFonts w:ascii="Times New Roman" w:hAnsi="Times New Roman" w:eastAsia="宋体" w:cs="Times New Roman"/>
      <w:szCs w:val="24"/>
    </w:rPr>
  </w:style>
  <w:style w:type="character" w:customStyle="1" w:styleId="25">
    <w:name w:val="纯文本 Char1"/>
    <w:basedOn w:val="17"/>
    <w:link w:val="5"/>
    <w:qFormat/>
    <w:uiPriority w:val="99"/>
    <w:rPr>
      <w:rFonts w:ascii="宋体" w:hAnsi="Consolas" w:eastAsia="宋体" w:cs="Times New Roman"/>
      <w:szCs w:val="21"/>
    </w:rPr>
  </w:style>
  <w:style w:type="character" w:customStyle="1" w:styleId="26">
    <w:name w:val="日期 Char"/>
    <w:basedOn w:val="17"/>
    <w:link w:val="6"/>
    <w:qFormat/>
    <w:uiPriority w:val="0"/>
    <w:rPr>
      <w:rFonts w:ascii="Times New Roman" w:hAnsi="Times New Roman" w:eastAsia="宋体" w:cs="Times New Roman"/>
      <w:szCs w:val="24"/>
    </w:rPr>
  </w:style>
  <w:style w:type="character" w:customStyle="1" w:styleId="27">
    <w:name w:val="正文文本缩进 2 Char"/>
    <w:basedOn w:val="17"/>
    <w:link w:val="7"/>
    <w:qFormat/>
    <w:uiPriority w:val="99"/>
    <w:rPr>
      <w:kern w:val="2"/>
      <w:sz w:val="21"/>
      <w:szCs w:val="24"/>
    </w:rPr>
  </w:style>
  <w:style w:type="character" w:customStyle="1" w:styleId="28">
    <w:name w:val="批注框文本 Char"/>
    <w:basedOn w:val="17"/>
    <w:link w:val="8"/>
    <w:qFormat/>
    <w:uiPriority w:val="0"/>
    <w:rPr>
      <w:rFonts w:ascii="Times New Roman" w:hAnsi="Times New Roman" w:eastAsia="宋体" w:cs="Times New Roman"/>
      <w:sz w:val="18"/>
      <w:szCs w:val="18"/>
    </w:rPr>
  </w:style>
  <w:style w:type="character" w:customStyle="1" w:styleId="29">
    <w:name w:val="页脚 Char1"/>
    <w:basedOn w:val="17"/>
    <w:link w:val="9"/>
    <w:qFormat/>
    <w:uiPriority w:val="99"/>
    <w:rPr>
      <w:rFonts w:ascii="Times New Roman" w:hAnsi="Times New Roman" w:eastAsia="宋体" w:cs="Times New Roman"/>
      <w:sz w:val="18"/>
      <w:szCs w:val="18"/>
    </w:rPr>
  </w:style>
  <w:style w:type="character" w:customStyle="1" w:styleId="30">
    <w:name w:val="页眉 Char1"/>
    <w:basedOn w:val="17"/>
    <w:link w:val="10"/>
    <w:qFormat/>
    <w:uiPriority w:val="99"/>
    <w:rPr>
      <w:rFonts w:ascii="Times New Roman" w:hAnsi="Times New Roman" w:eastAsia="宋体" w:cs="Times New Roman"/>
      <w:sz w:val="18"/>
      <w:szCs w:val="18"/>
    </w:rPr>
  </w:style>
  <w:style w:type="character" w:customStyle="1" w:styleId="31">
    <w:name w:val="正文文本 2 Char1"/>
    <w:basedOn w:val="17"/>
    <w:link w:val="11"/>
    <w:qFormat/>
    <w:uiPriority w:val="99"/>
    <w:rPr>
      <w:rFonts w:ascii="Times New Roman" w:hAnsi="Times New Roman" w:eastAsia="宋体" w:cs="Times New Roman"/>
      <w:szCs w:val="24"/>
    </w:rPr>
  </w:style>
  <w:style w:type="character" w:customStyle="1" w:styleId="32">
    <w:name w:val="HTML 预设格式 Char"/>
    <w:basedOn w:val="17"/>
    <w:link w:val="12"/>
    <w:qFormat/>
    <w:uiPriority w:val="0"/>
    <w:rPr>
      <w:rFonts w:ascii="宋体" w:hAnsi="宋体" w:eastAsia="宋体" w:cs="Times New Roman"/>
      <w:kern w:val="0"/>
      <w:sz w:val="24"/>
      <w:szCs w:val="24"/>
    </w:rPr>
  </w:style>
  <w:style w:type="character" w:customStyle="1" w:styleId="33">
    <w:name w:val="标题 Char"/>
    <w:basedOn w:val="17"/>
    <w:link w:val="14"/>
    <w:qFormat/>
    <w:uiPriority w:val="0"/>
    <w:rPr>
      <w:rFonts w:ascii="Cambria" w:hAnsi="Cambria" w:eastAsia="宋体" w:cs="Times New Roman"/>
      <w:b/>
      <w:bCs/>
      <w:sz w:val="32"/>
      <w:szCs w:val="32"/>
    </w:rPr>
  </w:style>
  <w:style w:type="character" w:customStyle="1" w:styleId="34">
    <w:name w:val="页眉 Char"/>
    <w:qFormat/>
    <w:uiPriority w:val="0"/>
    <w:rPr>
      <w:rFonts w:ascii="Calibri" w:hAnsi="Calibri" w:eastAsia="宋体"/>
      <w:sz w:val="18"/>
      <w:szCs w:val="18"/>
    </w:rPr>
  </w:style>
  <w:style w:type="character" w:customStyle="1" w:styleId="35">
    <w:name w:val="正文文本缩进 Char"/>
    <w:qFormat/>
    <w:uiPriority w:val="0"/>
    <w:rPr>
      <w:rFonts w:ascii="Calibri" w:hAnsi="Calibri"/>
      <w:kern w:val="2"/>
      <w:sz w:val="21"/>
      <w:szCs w:val="22"/>
    </w:rPr>
  </w:style>
  <w:style w:type="character" w:customStyle="1" w:styleId="36">
    <w:name w:val="正文文本 Char"/>
    <w:qFormat/>
    <w:uiPriority w:val="0"/>
    <w:rPr>
      <w:rFonts w:eastAsia="宋体"/>
      <w:sz w:val="24"/>
      <w:szCs w:val="24"/>
    </w:rPr>
  </w:style>
  <w:style w:type="character" w:customStyle="1" w:styleId="37">
    <w:name w:val="Char Char7"/>
    <w:qFormat/>
    <w:uiPriority w:val="0"/>
    <w:rPr>
      <w:rFonts w:eastAsia="宋体"/>
      <w:kern w:val="2"/>
      <w:sz w:val="18"/>
      <w:szCs w:val="18"/>
      <w:lang w:val="en-US" w:eastAsia="zh-CN" w:bidi="ar-SA"/>
    </w:rPr>
  </w:style>
  <w:style w:type="character" w:customStyle="1" w:styleId="38">
    <w:name w:val="纯文本 Char"/>
    <w:qFormat/>
    <w:uiPriority w:val="0"/>
  </w:style>
  <w:style w:type="character" w:customStyle="1" w:styleId="39">
    <w:name w:val="Char Char6"/>
    <w:qFormat/>
    <w:uiPriority w:val="0"/>
    <w:rPr>
      <w:kern w:val="2"/>
      <w:sz w:val="18"/>
      <w:szCs w:val="18"/>
    </w:rPr>
  </w:style>
  <w:style w:type="character" w:customStyle="1" w:styleId="40">
    <w:name w:val="页脚 Char"/>
    <w:qFormat/>
    <w:uiPriority w:val="0"/>
    <w:rPr>
      <w:rFonts w:eastAsia="宋体"/>
      <w:sz w:val="18"/>
      <w:szCs w:val="18"/>
    </w:rPr>
  </w:style>
  <w:style w:type="character" w:customStyle="1" w:styleId="41">
    <w:name w:val="正文文本 2 Char"/>
    <w:qFormat/>
    <w:uiPriority w:val="0"/>
    <w:rPr>
      <w:rFonts w:eastAsia="宋体"/>
      <w:szCs w:val="24"/>
    </w:rPr>
  </w:style>
  <w:style w:type="character" w:customStyle="1" w:styleId="42">
    <w:name w:val="Char Char3"/>
    <w:qFormat/>
    <w:uiPriority w:val="0"/>
    <w:rPr>
      <w:kern w:val="2"/>
      <w:sz w:val="18"/>
      <w:szCs w:val="18"/>
    </w:rPr>
  </w:style>
  <w:style w:type="character" w:customStyle="1" w:styleId="43">
    <w:name w:val="正文文本缩进 Char1"/>
    <w:qFormat/>
    <w:uiPriority w:val="0"/>
    <w:rPr>
      <w:rFonts w:eastAsia="宋体"/>
    </w:rPr>
  </w:style>
  <w:style w:type="paragraph" w:customStyle="1" w:styleId="44">
    <w:name w:val="样式 标题 2 + 仿宋_GB2312 加粗 首行缩进:  0 厘米 段前: 1 行 段后: 1 行 行距: 固定值 ...1"/>
    <w:basedOn w:val="2"/>
    <w:qFormat/>
    <w:uiPriority w:val="0"/>
    <w:pPr>
      <w:keepNext w:val="0"/>
      <w:keepLines w:val="0"/>
      <w:spacing w:before="0" w:after="0" w:line="600" w:lineRule="exact"/>
      <w:jc w:val="left"/>
    </w:pPr>
    <w:rPr>
      <w:rFonts w:ascii="仿宋_GB2312" w:hAnsi="宋体" w:eastAsia="宋体" w:cs="宋体"/>
      <w:b w:val="0"/>
      <w:bCs w:val="0"/>
      <w:sz w:val="36"/>
      <w:szCs w:val="20"/>
    </w:rPr>
  </w:style>
  <w:style w:type="paragraph" w:customStyle="1" w:styleId="45">
    <w:name w:val="列出段落1"/>
    <w:basedOn w:val="1"/>
    <w:qFormat/>
    <w:uiPriority w:val="0"/>
    <w:pPr>
      <w:ind w:firstLine="420" w:firstLineChars="200"/>
    </w:pPr>
    <w:rPr>
      <w:rFonts w:ascii="Calibri" w:hAnsi="Calibri"/>
      <w:szCs w:val="22"/>
    </w:rPr>
  </w:style>
  <w:style w:type="paragraph" w:customStyle="1" w:styleId="4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样式1"/>
    <w:basedOn w:val="1"/>
    <w:qFormat/>
    <w:uiPriority w:val="0"/>
  </w:style>
  <w:style w:type="paragraph" w:customStyle="1" w:styleId="48">
    <w:name w:val="列表段落1"/>
    <w:basedOn w:val="1"/>
    <w:qFormat/>
    <w:uiPriority w:val="0"/>
    <w:pPr>
      <w:ind w:firstLine="420" w:firstLineChars="200"/>
    </w:pPr>
    <w:rPr>
      <w:rFonts w:ascii="Calibri" w:hAnsi="Calibri"/>
      <w:szCs w:val="22"/>
    </w:rPr>
  </w:style>
  <w:style w:type="paragraph" w:customStyle="1" w:styleId="49">
    <w:name w:val="标题5"/>
    <w:basedOn w:val="1"/>
    <w:qFormat/>
    <w:uiPriority w:val="0"/>
    <w:pPr>
      <w:autoSpaceDE w:val="0"/>
      <w:autoSpaceDN w:val="0"/>
      <w:adjustRightInd w:val="0"/>
      <w:spacing w:line="310" w:lineRule="atLeast"/>
      <w:ind w:firstLine="425"/>
    </w:pPr>
    <w:rPr>
      <w:rFonts w:ascii="黑体" w:eastAsia="黑体"/>
      <w:kern w:val="0"/>
      <w:szCs w:val="20"/>
    </w:rPr>
  </w:style>
  <w:style w:type="paragraph" w:customStyle="1" w:styleId="5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
    <w:name w:val="列出段落2"/>
    <w:basedOn w:val="1"/>
    <w:qFormat/>
    <w:uiPriority w:val="0"/>
    <w:pPr>
      <w:ind w:firstLine="420" w:firstLineChars="200"/>
    </w:pPr>
    <w:rPr>
      <w:rFonts w:ascii="Calibri" w:hAnsi="Calibri"/>
      <w:szCs w:val="22"/>
    </w:rPr>
  </w:style>
  <w:style w:type="paragraph" w:customStyle="1" w:styleId="52">
    <w:name w:val="content5"/>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53">
    <w:name w:val="List Paragraph"/>
    <w:basedOn w:val="1"/>
    <w:qFormat/>
    <w:uiPriority w:val="34"/>
    <w:pPr>
      <w:ind w:firstLine="420" w:firstLineChars="200"/>
    </w:pPr>
  </w:style>
  <w:style w:type="paragraph" w:styleId="5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5">
    <w:name w:val="——正文E2"/>
    <w:basedOn w:val="1"/>
    <w:qFormat/>
    <w:uiPriority w:val="0"/>
    <w:pPr>
      <w:spacing w:line="360" w:lineRule="auto"/>
      <w:ind w:firstLine="480" w:firstLineChars="200"/>
    </w:pPr>
    <w:rPr>
      <w:rFonts w:ascii="仿宋_GB2312" w:hAnsi="宋体" w:eastAsia="仿宋_GB2312"/>
      <w:sz w:val="24"/>
    </w:rPr>
  </w:style>
  <w:style w:type="paragraph" w:customStyle="1" w:styleId="56">
    <w:name w:val="Table Paragraph"/>
    <w:qFormat/>
    <w:uiPriority w:val="1"/>
    <w:pPr>
      <w:widowControl w:val="0"/>
      <w:autoSpaceDE w:val="0"/>
      <w:autoSpaceDN w:val="0"/>
    </w:pPr>
    <w:rPr>
      <w:rFonts w:ascii="宋体" w:hAnsi="宋体" w:eastAsia="宋体" w:cs="宋体"/>
      <w:sz w:val="22"/>
      <w:szCs w:val="22"/>
      <w:lang w:val="zh-CN" w:eastAsia="zh-CN" w:bidi="zh-CN"/>
    </w:rPr>
  </w:style>
  <w:style w:type="character" w:customStyle="1" w:styleId="57">
    <w:name w:val="font41"/>
    <w:basedOn w:val="17"/>
    <w:qFormat/>
    <w:uiPriority w:val="0"/>
    <w:rPr>
      <w:rFonts w:hint="eastAsia" w:ascii="宋体" w:hAnsi="宋体" w:eastAsia="宋体" w:cs="宋体"/>
      <w:color w:val="000000"/>
      <w:sz w:val="21"/>
      <w:szCs w:val="21"/>
      <w:u w:val="none"/>
    </w:rPr>
  </w:style>
  <w:style w:type="character" w:customStyle="1" w:styleId="58">
    <w:name w:val="font11"/>
    <w:basedOn w:val="17"/>
    <w:qFormat/>
    <w:uiPriority w:val="0"/>
    <w:rPr>
      <w:rFonts w:hint="eastAsia" w:ascii="宋体" w:hAnsi="宋体" w:eastAsia="宋体" w:cs="宋体"/>
      <w:b/>
      <w:color w:val="000000"/>
      <w:sz w:val="21"/>
      <w:szCs w:val="21"/>
      <w:u w:val="none"/>
    </w:rPr>
  </w:style>
  <w:style w:type="character" w:customStyle="1" w:styleId="59">
    <w:name w:val="font01"/>
    <w:basedOn w:val="17"/>
    <w:qFormat/>
    <w:uiPriority w:val="0"/>
    <w:rPr>
      <w:rFonts w:hint="eastAsia" w:ascii="宋体" w:hAnsi="宋体" w:eastAsia="宋体" w:cs="宋体"/>
      <w:color w:val="000000"/>
      <w:sz w:val="21"/>
      <w:szCs w:val="21"/>
      <w:u w:val="none"/>
    </w:rPr>
  </w:style>
  <w:style w:type="character" w:customStyle="1" w:styleId="60">
    <w:name w:val="font91"/>
    <w:basedOn w:val="17"/>
    <w:qFormat/>
    <w:uiPriority w:val="0"/>
    <w:rPr>
      <w:rFonts w:hint="eastAsia" w:ascii="宋体" w:hAnsi="宋体" w:eastAsia="宋体" w:cs="宋体"/>
      <w:b/>
      <w:color w:val="000000"/>
      <w:sz w:val="21"/>
      <w:szCs w:val="21"/>
      <w:u w:val="none"/>
    </w:rPr>
  </w:style>
  <w:style w:type="character" w:customStyle="1" w:styleId="61">
    <w:name w:val="font81"/>
    <w:basedOn w:val="17"/>
    <w:qFormat/>
    <w:uiPriority w:val="0"/>
    <w:rPr>
      <w:rFonts w:hint="eastAsia" w:ascii="宋体" w:hAnsi="宋体" w:eastAsia="宋体" w:cs="宋体"/>
      <w:color w:val="FF0000"/>
      <w:sz w:val="21"/>
      <w:szCs w:val="21"/>
      <w:u w:val="none"/>
    </w:rPr>
  </w:style>
  <w:style w:type="character" w:customStyle="1" w:styleId="62">
    <w:name w:val="font71"/>
    <w:basedOn w:val="17"/>
    <w:qFormat/>
    <w:uiPriority w:val="0"/>
    <w:rPr>
      <w:rFonts w:hint="eastAsia" w:ascii="宋体" w:hAnsi="宋体" w:eastAsia="宋体" w:cs="宋体"/>
      <w:color w:val="000000"/>
      <w:sz w:val="21"/>
      <w:szCs w:val="21"/>
      <w:u w:val="none"/>
    </w:rPr>
  </w:style>
  <w:style w:type="character" w:customStyle="1" w:styleId="63">
    <w:name w:val="font112"/>
    <w:basedOn w:val="17"/>
    <w:qFormat/>
    <w:uiPriority w:val="0"/>
    <w:rPr>
      <w:rFonts w:hint="eastAsia" w:ascii="宋体" w:hAnsi="宋体" w:eastAsia="宋体" w:cs="宋体"/>
      <w:b/>
      <w:color w:val="000000"/>
      <w:sz w:val="21"/>
      <w:szCs w:val="21"/>
      <w:u w:val="none"/>
    </w:rPr>
  </w:style>
  <w:style w:type="character" w:customStyle="1" w:styleId="64">
    <w:name w:val="font31"/>
    <w:basedOn w:val="17"/>
    <w:qFormat/>
    <w:uiPriority w:val="0"/>
    <w:rPr>
      <w:rFonts w:hint="eastAsia" w:ascii="宋体" w:hAnsi="宋体" w:eastAsia="宋体" w:cs="宋体"/>
      <w:color w:val="000000"/>
      <w:sz w:val="21"/>
      <w:szCs w:val="21"/>
      <w:u w:val="none"/>
    </w:rPr>
  </w:style>
  <w:style w:type="paragraph" w:customStyle="1" w:styleId="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7">
    <w:name w:val="xl6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8">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69">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70">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71">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Cs w:val="21"/>
    </w:rPr>
  </w:style>
  <w:style w:type="paragraph" w:customStyle="1" w:styleId="72">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73">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74">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75">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76">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Cs w:val="21"/>
    </w:rPr>
  </w:style>
  <w:style w:type="paragraph" w:customStyle="1" w:styleId="77">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78">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79">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0">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8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82">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Cs w:val="21"/>
    </w:rPr>
  </w:style>
  <w:style w:type="paragraph" w:customStyle="1" w:styleId="83">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84">
    <w:name w:val="xl82"/>
    <w:basedOn w:val="1"/>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85">
    <w:name w:val="xl83"/>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Cs w:val="21"/>
    </w:rPr>
  </w:style>
  <w:style w:type="paragraph" w:customStyle="1" w:styleId="86">
    <w:name w:val="xl8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87">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8">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89">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Cs w:val="21"/>
    </w:rPr>
  </w:style>
  <w:style w:type="paragraph" w:customStyle="1" w:styleId="90">
    <w:name w:val="xl88"/>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Cs w:val="21"/>
    </w:rPr>
  </w:style>
  <w:style w:type="paragraph" w:customStyle="1" w:styleId="91">
    <w:name w:val="xl8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2">
    <w:name w:val="xl90"/>
    <w:basedOn w:val="1"/>
    <w:qFormat/>
    <w:uiPriority w:val="0"/>
    <w:pPr>
      <w:widowControl/>
      <w:pBdr>
        <w:top w:val="single" w:color="000000" w:sz="4" w:space="0"/>
        <w:left w:val="single" w:color="000000" w:sz="4" w:space="18"/>
        <w:bottom w:val="single" w:color="000000" w:sz="4" w:space="0"/>
        <w:right w:val="single" w:color="000000" w:sz="4" w:space="0"/>
      </w:pBdr>
      <w:spacing w:before="100" w:beforeAutospacing="1" w:after="100" w:afterAutospacing="1"/>
      <w:ind w:firstLine="100" w:firstLineChars="100"/>
      <w:jc w:val="left"/>
    </w:pPr>
    <w:rPr>
      <w:rFonts w:ascii="宋体" w:hAnsi="宋体" w:cs="宋体"/>
      <w:color w:val="000000"/>
      <w:kern w:val="0"/>
      <w:sz w:val="24"/>
    </w:rPr>
  </w:style>
  <w:style w:type="paragraph" w:customStyle="1" w:styleId="93">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94">
    <w:name w:val="xl92"/>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5">
    <w:name w:val="xl93"/>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6">
    <w:name w:val="xl94"/>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7">
    <w:name w:val="xl95"/>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8">
    <w:name w:val="xl96"/>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9">
    <w:name w:val="xl97"/>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0">
    <w:name w:val="xl9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01">
    <w:name w:val="xl99"/>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02">
    <w:name w:val="xl1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3">
    <w:name w:val="xl10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04">
    <w:name w:val="xl102"/>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05">
    <w:name w:val="xl10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6">
    <w:name w:val="xl104"/>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7">
    <w:name w:val="xl10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8">
    <w:name w:val="xl10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character" w:customStyle="1" w:styleId="109">
    <w:name w:val="font61"/>
    <w:basedOn w:val="17"/>
    <w:qFormat/>
    <w:uiPriority w:val="0"/>
    <w:rPr>
      <w:rFonts w:hint="default" w:ascii="Times New Roman" w:hAnsi="Times New Roman" w:cs="Times New Roman"/>
      <w:color w:val="000000"/>
      <w:sz w:val="21"/>
      <w:szCs w:val="21"/>
      <w:u w:val="none"/>
    </w:rPr>
  </w:style>
  <w:style w:type="paragraph" w:customStyle="1" w:styleId="11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11">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13648</Words>
  <Characters>14391</Characters>
  <Lines>118</Lines>
  <Paragraphs>33</Paragraphs>
  <TotalTime>78</TotalTime>
  <ScaleCrop>false</ScaleCrop>
  <LinksUpToDate>false</LinksUpToDate>
  <CharactersWithSpaces>14973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2019-12-04T07:25:00Z</dcterms:created>
  <dc:creator>USER-</dc:creator>
  <cp:lastModifiedBy>alin</cp:lastModifiedBy>
  <dcterms:modified xsi:type="dcterms:W3CDTF">2022-11-02T02:47:00Z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9BED3426EA154552BAAE9A986DA1635E</vt:lpwstr>
  </property>
</Properties>
</file>